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B374AE" w14:textId="77777777" w:rsidR="006B3A26" w:rsidRPr="001579D8" w:rsidRDefault="006A53BD">
      <w:pPr>
        <w:pStyle w:val="BodyText"/>
        <w:jc w:val="left"/>
        <w:rPr>
          <w:rFonts w:ascii="Garamond" w:hAnsi="Garamond"/>
          <w:b/>
        </w:rPr>
      </w:pPr>
      <w:r>
        <w:rPr>
          <w:rFonts w:ascii="Garamond" w:hAnsi="Garamond"/>
          <w:noProof/>
        </w:rPr>
        <mc:AlternateContent>
          <mc:Choice Requires="wps">
            <w:drawing>
              <wp:anchor distT="152400" distB="152400" distL="152400" distR="152400" simplePos="0" relativeHeight="251656192" behindDoc="0" locked="0" layoutInCell="1" allowOverlap="1" wp14:anchorId="3509EBA6" wp14:editId="58A20822">
                <wp:simplePos x="0" y="0"/>
                <wp:positionH relativeFrom="page">
                  <wp:posOffset>1186180</wp:posOffset>
                </wp:positionH>
                <wp:positionV relativeFrom="page">
                  <wp:posOffset>233680</wp:posOffset>
                </wp:positionV>
                <wp:extent cx="1054100" cy="368300"/>
                <wp:effectExtent l="5080" t="5080" r="0" b="0"/>
                <wp:wrapSquare wrapText="bothSides"/>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5410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800000"/>
                              <a:headEnd/>
                              <a:tailEnd/>
                            </a14:hiddenLine>
                          </a:ext>
                        </a:extLst>
                      </wps:spPr>
                      <wps:txbx>
                        <w:txbxContent>
                          <w:p w14:paraId="772377CB" w14:textId="77777777" w:rsidR="00863EF5" w:rsidRDefault="00863EF5">
                            <w:pPr>
                              <w:pStyle w:val="FreeForm"/>
                              <w:rPr>
                                <w:rFonts w:eastAsia="Times New Roman"/>
                                <w:color w:val="auto"/>
                              </w:rPr>
                            </w:pPr>
                            <w:r>
                              <w:rPr>
                                <w:rFonts w:ascii="Arial" w:hAnsi="Arial"/>
                                <w:b/>
                                <w:sz w:val="26"/>
                              </w:rPr>
                              <w:t>ELPA</w:t>
                            </w:r>
                            <w:r>
                              <w:rPr>
                                <w:rFonts w:ascii="Arial Black" w:hAnsi="Arial Black"/>
                                <w:sz w:val="34"/>
                              </w:rPr>
                              <w:t>940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93.4pt;margin-top:18.4pt;width:83pt;height:29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" filled="f" stroked="f" strokeweight="1pt">
                <v:path arrowok="t"/>
                <v:textbox inset="0,0,0,0">
                  <w:txbxContent>
                    <w:p w14:paraId="772377CB" w14:textId="77777777" w:rsidR="00863EF5" w:rsidRDefault="00863EF5">
                      <w:pPr>
                        <w:pStyle w:val="FreeForm"/>
                        <w:rPr>
                          <w:rFonts w:eastAsia="Times New Roman"/>
                          <w:color w:val="auto"/>
                        </w:rPr>
                      </w:pPr>
                      <w:r>
                        <w:rPr>
                          <w:rFonts w:ascii="Arial" w:hAnsi="Arial"/>
                          <w:b/>
                          <w:sz w:val="26"/>
                        </w:rPr>
                        <w:t>ELPA</w:t>
                      </w:r>
                      <w:r>
                        <w:rPr>
                          <w:rFonts w:ascii="Arial Black" w:hAnsi="Arial Black"/>
                          <w:sz w:val="34"/>
                        </w:rPr>
                        <w:t>940</w:t>
                      </w:r>
                    </w:p>
                  </w:txbxContent>
                </v:textbox>
                <w10:wrap type="square" anchorx="page" anchory="page"/>
              </v:rect>
            </w:pict>
          </mc:Fallback>
        </mc:AlternateContent>
      </w:r>
      <w:r>
        <w:rPr>
          <w:rFonts w:ascii="Garamond" w:hAnsi="Garamond"/>
          <w:noProof/>
        </w:rPr>
        <mc:AlternateContent>
          <mc:Choice Requires="wps">
            <w:drawing>
              <wp:anchor distT="152400" distB="152400" distL="152400" distR="152400" simplePos="0" relativeHeight="251655168" behindDoc="0" locked="0" layoutInCell="1" allowOverlap="1" wp14:anchorId="5B1EEF78" wp14:editId="4CD5B6BE">
                <wp:simplePos x="0" y="0"/>
                <wp:positionH relativeFrom="page">
                  <wp:posOffset>1190625</wp:posOffset>
                </wp:positionH>
                <wp:positionV relativeFrom="page">
                  <wp:posOffset>541655</wp:posOffset>
                </wp:positionV>
                <wp:extent cx="5452110" cy="4445"/>
                <wp:effectExtent l="149225" t="147955" r="164465" b="165100"/>
                <wp:wrapThrough wrapText="bothSides">
                  <wp:wrapPolygon edited="0">
                    <wp:start x="-75" y="-2147483648"/>
                    <wp:lineTo x="-75" y="-2147483648"/>
                    <wp:lineTo x="21638" y="-2147483648"/>
                    <wp:lineTo x="21638" y="-2147483648"/>
                    <wp:lineTo x="-75" y="-2147483648"/>
                  </wp:wrapPolygon>
                </wp:wrapThrough>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452110" cy="4445"/>
                        </a:xfrm>
                        <a:prstGeom prst="line">
                          <a:avLst/>
                        </a:prstGeom>
                        <a:noFill/>
                        <a:ln w="38100">
                          <a:solidFill>
                            <a:srgbClr val="000000"/>
                          </a:solidFill>
                          <a:miter lim="800000"/>
                          <a:headEnd/>
                          <a:tailEnd/>
                        </a:ln>
                        <a:extLst>
                          <a:ext uri="{909E8E84-426E-40dd-AFC4-6F175D3DCCD1}">
                            <a14:hiddenFill xmlns:a14="http://schemas.microsoft.com/office/drawing/2010/main">
                              <a:noFill/>
                            </a14:hiddenFill>
                          </a:ext>
                        </a:extLst>
                      </wps:spPr>
                      <wps:txbx>
                        <w:txbxContent>
                          <w:p w14:paraId="6B8A2CAE" w14:textId="77777777" w:rsidR="00863EF5" w:rsidRDefault="00863EF5">
                            <w:pPr>
                              <w:pStyle w:val="FreeForm"/>
                              <w:rPr>
                                <w:rFonts w:eastAsia="Times New Roman"/>
                                <w:color w:val="auto"/>
                              </w:rPr>
                            </w:pPr>
                          </w:p>
                        </w:txbxContent>
                      </wps:txbx>
                      <wps:bodyPr/>
                    </wps:wsp>
                  </a:graphicData>
                </a:graphic>
                <wp14:sizeRelH relativeFrom="page">
                  <wp14:pctWidth>0</wp14:pctWidth>
                </wp14:sizeRelH>
                <wp14:sizeRelV relativeFrom="page">
                  <wp14:pctHeight>0</wp14:pctHeight>
                </wp14:sizeRelV>
              </wp:anchor>
            </w:drawing>
          </mc:Choice>
          <mc:Fallback>
            <w:pict>
              <v:line id="Line 2" o:spid="_x0000_s1026" style="position:absolute;flip:y;z-index:251655168;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93.75pt,42.65pt" to="523.05pt,4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" strokeweight="3pt">
                <v:fill o:detectmouseclick="t"/>
                <v:stroke joinstyle="miter"/>
                <w10:wrap type="through" anchorx="page" anchory="page"/>
              </v:line>
            </w:pict>
          </mc:Fallback>
        </mc:AlternateContent>
      </w:r>
      <w:r w:rsidR="006B3A26" w:rsidRPr="001579D8">
        <w:rPr>
          <w:rFonts w:ascii="Garamond" w:hAnsi="Garamond"/>
          <w:b/>
        </w:rPr>
        <w:t>Course Description</w:t>
      </w:r>
    </w:p>
    <w:p w14:paraId="75903935" w14:textId="77777777" w:rsidR="006B3A26" w:rsidRPr="001579D8" w:rsidRDefault="006B3A26">
      <w:pPr>
        <w:rPr>
          <w:rFonts w:ascii="Garamond" w:hAnsi="Garamond"/>
        </w:rPr>
      </w:pPr>
      <w:r w:rsidRPr="001579D8">
        <w:rPr>
          <w:rFonts w:ascii="Garamond" w:hAnsi="Garamond"/>
        </w:rPr>
        <w:t xml:space="preserve">The purpose of this course is to provide students with an introduction to inquiry in the field of educational policy and leadership. The course is organized around critical readings, discussions and activities that will invite students to view their doctoral program as an ongoing journey of engagement with ideas—from identifying and crystallizing meaningful problems to designing research to addressing key challenges in conducting meaningful and disciplined inquiry—and provides them with the basic knowledge and skills to begin that journey.  The course will provide an opportunity for class members to develop professional peer relationships (especially through providing and receiving formative feedback) that cultivate a mutually reinforcing teaching and learning community for the duration of their doctoral study. </w:t>
      </w:r>
    </w:p>
    <w:p w14:paraId="38EFAC27" w14:textId="77777777" w:rsidR="006B3A26" w:rsidRPr="001579D8" w:rsidRDefault="006B3A26">
      <w:pPr>
        <w:rPr>
          <w:rFonts w:ascii="Garamond" w:hAnsi="Garamond"/>
        </w:rPr>
      </w:pPr>
    </w:p>
    <w:p w14:paraId="5DAC1E6C" w14:textId="77777777" w:rsidR="006B3A26" w:rsidRPr="001579D8" w:rsidRDefault="006B3A26">
      <w:pPr>
        <w:rPr>
          <w:rFonts w:ascii="Garamond" w:hAnsi="Garamond"/>
        </w:rPr>
      </w:pPr>
      <w:r w:rsidRPr="001579D8">
        <w:rPr>
          <w:rFonts w:ascii="Garamond" w:hAnsi="Garamond"/>
        </w:rPr>
        <w:t xml:space="preserve">The Educational Leadership and Policy Analysis department covers a broad range of research areas and methods.  This course attempts to provide a coherent map of the methods, topics and research practices relevant to ELPA researchers. Part 1 focuses on how </w:t>
      </w:r>
      <w:r w:rsidR="00FF037B">
        <w:rPr>
          <w:rFonts w:ascii="Garamond" w:hAnsi="Garamond"/>
        </w:rPr>
        <w:t>problematize areas of education, teaching, learning and leadership for research inquiry</w:t>
      </w:r>
      <w:r w:rsidRPr="001579D8">
        <w:rPr>
          <w:rFonts w:ascii="Garamond" w:hAnsi="Garamond"/>
        </w:rPr>
        <w:t xml:space="preserve">.  Part 2 highlights </w:t>
      </w:r>
      <w:proofErr w:type="spellStart"/>
      <w:r w:rsidR="00FF037B" w:rsidRPr="00FF037B">
        <w:rPr>
          <w:rFonts w:ascii="Garamond" w:hAnsi="Garamond"/>
          <w:b/>
        </w:rPr>
        <w:t>xxxxxxxxxx</w:t>
      </w:r>
      <w:proofErr w:type="spellEnd"/>
      <w:r>
        <w:rPr>
          <w:rFonts w:ascii="Garamond" w:hAnsi="Garamond"/>
        </w:rPr>
        <w:t>.</w:t>
      </w:r>
      <w:r w:rsidRPr="001579D8">
        <w:rPr>
          <w:rFonts w:ascii="Garamond" w:hAnsi="Garamond"/>
        </w:rPr>
        <w:t xml:space="preserve"> </w:t>
      </w:r>
    </w:p>
    <w:p w14:paraId="2F17EF4D" w14:textId="77777777" w:rsidR="006B3A26" w:rsidRDefault="006B3A26">
      <w:pPr>
        <w:rPr>
          <w:rFonts w:ascii="Garamond" w:hAnsi="Garamond"/>
        </w:rPr>
      </w:pPr>
    </w:p>
    <w:p w14:paraId="44441D30" w14:textId="77777777" w:rsidR="006B3A26" w:rsidRPr="001579D8" w:rsidRDefault="006B3A26">
      <w:pPr>
        <w:rPr>
          <w:rFonts w:ascii="Garamond" w:hAnsi="Garamond"/>
        </w:rPr>
      </w:pPr>
      <w:r w:rsidRPr="001579D8">
        <w:rPr>
          <w:rFonts w:ascii="Garamond" w:hAnsi="Garamond"/>
        </w:rPr>
        <w:t>We will investigate how researchers create, integrate, exch</w:t>
      </w:r>
      <w:r>
        <w:rPr>
          <w:rFonts w:ascii="Garamond" w:hAnsi="Garamond"/>
        </w:rPr>
        <w:t xml:space="preserve">ange, and apply knowledge about </w:t>
      </w:r>
      <w:r w:rsidRPr="001579D8">
        <w:rPr>
          <w:rFonts w:ascii="Garamond" w:hAnsi="Garamond"/>
        </w:rPr>
        <w:t>leadership, learning, and organizational performance to advance educational quality and oppo</w:t>
      </w:r>
      <w:r w:rsidR="006A53BD">
        <w:rPr>
          <w:rFonts w:ascii="Garamond" w:hAnsi="Garamond"/>
          <w:noProof/>
        </w:rPr>
        <mc:AlternateContent>
          <mc:Choice Requires="wps">
            <w:drawing>
              <wp:anchor distT="152400" distB="152400" distL="152400" distR="152400" simplePos="0" relativeHeight="251657216" behindDoc="0" locked="0" layoutInCell="1" allowOverlap="1" wp14:anchorId="3DD0834C" wp14:editId="0349C026">
                <wp:simplePos x="0" y="0"/>
                <wp:positionH relativeFrom="page">
                  <wp:posOffset>342900</wp:posOffset>
                </wp:positionH>
                <wp:positionV relativeFrom="page">
                  <wp:posOffset>1651000</wp:posOffset>
                </wp:positionV>
                <wp:extent cx="3653155" cy="0"/>
                <wp:effectExtent l="50800" t="50800" r="67945" b="63500"/>
                <wp:wrapThrough wrapText="bothSides">
                  <wp:wrapPolygon edited="0">
                    <wp:start x="-113" y="-2147483648"/>
                    <wp:lineTo x="56" y="-2147483648"/>
                    <wp:lineTo x="10854" y="-2147483648"/>
                    <wp:lineTo x="10854" y="-2147483648"/>
                    <wp:lineTo x="21544" y="-2147483648"/>
                    <wp:lineTo x="21713" y="-2147483648"/>
                    <wp:lineTo x="-113" y="-2147483648"/>
                  </wp:wrapPolygon>
                </wp:wrapThrough>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3155" cy="0"/>
                        </a:xfrm>
                        <a:prstGeom prst="line">
                          <a:avLst/>
                        </a:prstGeom>
                        <a:noFill/>
                        <a:ln w="12700" cap="rnd">
                          <a:solidFill>
                            <a:srgbClr val="000000"/>
                          </a:solidFill>
                          <a:prstDash val="sysDot"/>
                          <a:miter lim="800000"/>
                          <a:headEnd/>
                          <a:tailEnd/>
                        </a:ln>
                        <a:extLst>
                          <a:ext uri="{909E8E84-426E-40dd-AFC4-6F175D3DCCD1}">
                            <a14:hiddenFill xmlns:a14="http://schemas.microsoft.com/office/drawing/2010/main">
                              <a:noFill/>
                            </a14:hiddenFill>
                          </a:ext>
                        </a:extLst>
                      </wps:spPr>
                      <wps:txbx>
                        <w:txbxContent>
                          <w:p w14:paraId="0ADCCA0D" w14:textId="77777777" w:rsidR="00863EF5" w:rsidRDefault="00863EF5">
                            <w:pPr>
                              <w:pStyle w:val="FreeForm"/>
                              <w:rPr>
                                <w:rFonts w:eastAsia="Times New Roman"/>
                                <w:color w:val="auto"/>
                              </w:rPr>
                            </w:pPr>
                          </w:p>
                        </w:txbxContent>
                      </wps:txbx>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27pt,130pt" to="314.65pt,1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" strokeweight="1pt">
                <v:fill o:detectmouseclick="t"/>
                <v:stroke dashstyle="1 1" joinstyle="miter" endcap="round"/>
                <w10:wrap type="through" anchorx="page" anchory="page"/>
              </v:line>
            </w:pict>
          </mc:Fallback>
        </mc:AlternateContent>
      </w:r>
      <w:r w:rsidR="006A53BD">
        <w:rPr>
          <w:rFonts w:ascii="Garamond" w:hAnsi="Garamond"/>
          <w:noProof/>
        </w:rPr>
        <mc:AlternateContent>
          <mc:Choice Requires="wps">
            <w:drawing>
              <wp:anchor distT="152400" distB="152400" distL="152400" distR="152400" simplePos="0" relativeHeight="251658240" behindDoc="0" locked="0" layoutInCell="1" allowOverlap="1" wp14:anchorId="3F5D147F" wp14:editId="70E829CC">
                <wp:simplePos x="0" y="0"/>
                <wp:positionH relativeFrom="page">
                  <wp:posOffset>4300855</wp:posOffset>
                </wp:positionH>
                <wp:positionV relativeFrom="page">
                  <wp:posOffset>1651000</wp:posOffset>
                </wp:positionV>
                <wp:extent cx="2540000" cy="0"/>
                <wp:effectExtent l="46355" t="50800" r="67945" b="63500"/>
                <wp:wrapThrough wrapText="bothSides">
                  <wp:wrapPolygon edited="0">
                    <wp:start x="-162" y="-2147483648"/>
                    <wp:lineTo x="81" y="-2147483648"/>
                    <wp:lineTo x="10838" y="-2147483648"/>
                    <wp:lineTo x="10838" y="-2147483648"/>
                    <wp:lineTo x="21519" y="-2147483648"/>
                    <wp:lineTo x="21762" y="-2147483648"/>
                    <wp:lineTo x="-162" y="-2147483648"/>
                  </wp:wrapPolygon>
                </wp:wrapThrough>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540000" cy="0"/>
                        </a:xfrm>
                        <a:prstGeom prst="line">
                          <a:avLst/>
                        </a:prstGeom>
                        <a:noFill/>
                        <a:ln w="12700" cap="rnd">
                          <a:solidFill>
                            <a:srgbClr val="000000"/>
                          </a:solidFill>
                          <a:prstDash val="sysDot"/>
                          <a:miter lim="800000"/>
                          <a:headEnd/>
                          <a:tailEnd/>
                        </a:ln>
                        <a:extLst>
                          <a:ext uri="{909E8E84-426E-40dd-AFC4-6F175D3DCCD1}">
                            <a14:hiddenFill xmlns:a14="http://schemas.microsoft.com/office/drawing/2010/main">
                              <a:noFill/>
                            </a14:hiddenFill>
                          </a:ext>
                        </a:extLst>
                      </wps:spPr>
                      <wps:txbx>
                        <w:txbxContent>
                          <w:p w14:paraId="58459831" w14:textId="77777777" w:rsidR="00863EF5" w:rsidRDefault="00863EF5">
                            <w:pPr>
                              <w:pStyle w:val="FreeForm"/>
                              <w:rPr>
                                <w:rFonts w:eastAsia="Times New Roman"/>
                                <w:color w:val="auto"/>
                              </w:rPr>
                            </w:pPr>
                          </w:p>
                        </w:txbxContent>
                      </wps:txbx>
                      <wps:bodyPr/>
                    </wps:wsp>
                  </a:graphicData>
                </a:graphic>
                <wp14:sizeRelH relativeFrom="page">
                  <wp14:pctWidth>0</wp14:pctWidth>
                </wp14:sizeRelH>
                <wp14:sizeRelV relativeFrom="page">
                  <wp14:pctHeight>0</wp14:pctHeight>
                </wp14:sizeRelV>
              </wp:anchor>
            </w:drawing>
          </mc:Choice>
          <mc:Fallback>
            <w:pict>
              <v:line id="Line 5" o:spid="_x0000_s1026" style="position:absolute;flip:x y;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 from="338.65pt,130pt" to="538.65pt,130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" strokeweight="1pt">
                <v:fill o:detectmouseclick="t"/>
                <v:stroke dashstyle="1 1" joinstyle="miter" endcap="round"/>
                <w10:wrap type="through" anchorx="page" anchory="page"/>
              </v:line>
            </w:pict>
          </mc:Fallback>
        </mc:AlternateContent>
      </w:r>
      <w:r w:rsidRPr="001579D8">
        <w:rPr>
          <w:rFonts w:ascii="Garamond" w:hAnsi="Garamond"/>
        </w:rPr>
        <w:t>rtunity across these areas of inquiry.  Drawing on exemplary research studies across these domains</w:t>
      </w:r>
      <w:r w:rsidR="00FF037B">
        <w:rPr>
          <w:rFonts w:ascii="Garamond" w:hAnsi="Garamond"/>
        </w:rPr>
        <w:t xml:space="preserve"> </w:t>
      </w:r>
      <w:r w:rsidRPr="001579D8">
        <w:rPr>
          <w:rFonts w:ascii="Garamond" w:hAnsi="Garamond"/>
        </w:rPr>
        <w:t xml:space="preserve">class participants will engage in ongoing discourse regarding how researchers have conceptualized, engaged in, reflected on, and communicated their research.    </w:t>
      </w:r>
    </w:p>
    <w:p w14:paraId="04208778" w14:textId="77777777" w:rsidR="006B3A26" w:rsidRPr="001579D8" w:rsidRDefault="006B3A26">
      <w:pPr>
        <w:pStyle w:val="Heading2A"/>
        <w:rPr>
          <w:rFonts w:ascii="Garamond" w:hAnsi="Garamond"/>
          <w:i w:val="0"/>
          <w:sz w:val="24"/>
        </w:rPr>
      </w:pPr>
      <w:r w:rsidRPr="001579D8">
        <w:rPr>
          <w:rFonts w:ascii="Garamond" w:hAnsi="Garamond"/>
          <w:i w:val="0"/>
          <w:sz w:val="24"/>
        </w:rPr>
        <w:t xml:space="preserve">Course Objectives </w:t>
      </w:r>
    </w:p>
    <w:p w14:paraId="6EF9AF94" w14:textId="77777777" w:rsidR="006B3A26" w:rsidRPr="001579D8" w:rsidRDefault="006B3A26" w:rsidP="006B3A26">
      <w:pPr>
        <w:numPr>
          <w:ilvl w:val="0"/>
          <w:numId w:val="4"/>
        </w:numPr>
        <w:tabs>
          <w:tab w:val="left" w:pos="720"/>
        </w:tabs>
        <w:spacing w:before="120" w:after="120"/>
        <w:rPr>
          <w:rFonts w:ascii="Garamond" w:hAnsi="Garamond"/>
          <w:position w:val="-2"/>
        </w:rPr>
      </w:pPr>
      <w:r w:rsidRPr="001579D8">
        <w:rPr>
          <w:rFonts w:ascii="Garamond" w:hAnsi="Garamond"/>
        </w:rPr>
        <w:t>To critically read and discuss core texts across the field of K-16+ educational leadership and policy analysis;</w:t>
      </w:r>
    </w:p>
    <w:p w14:paraId="7BD1A850" w14:textId="77777777" w:rsidR="006B3A26" w:rsidRPr="001579D8" w:rsidRDefault="006B3A26" w:rsidP="006B3A26">
      <w:pPr>
        <w:numPr>
          <w:ilvl w:val="0"/>
          <w:numId w:val="4"/>
        </w:numPr>
        <w:tabs>
          <w:tab w:val="left" w:pos="720"/>
        </w:tabs>
        <w:spacing w:before="120" w:after="120"/>
        <w:rPr>
          <w:rFonts w:ascii="Garamond" w:hAnsi="Garamond"/>
          <w:position w:val="-2"/>
        </w:rPr>
      </w:pPr>
      <w:r w:rsidRPr="001579D8">
        <w:rPr>
          <w:rFonts w:ascii="Garamond" w:hAnsi="Garamond"/>
        </w:rPr>
        <w:t xml:space="preserve">To write incisive commentaries of relevant research articles; </w:t>
      </w:r>
    </w:p>
    <w:p w14:paraId="35330677" w14:textId="77777777" w:rsidR="006B3A26" w:rsidRPr="001579D8" w:rsidRDefault="006B3A26" w:rsidP="006B3A26">
      <w:pPr>
        <w:numPr>
          <w:ilvl w:val="0"/>
          <w:numId w:val="4"/>
        </w:numPr>
        <w:tabs>
          <w:tab w:val="left" w:pos="720"/>
        </w:tabs>
        <w:spacing w:before="120" w:after="120"/>
        <w:rPr>
          <w:rFonts w:ascii="Garamond" w:hAnsi="Garamond"/>
          <w:position w:val="-2"/>
        </w:rPr>
      </w:pPr>
      <w:r w:rsidRPr="001579D8">
        <w:rPr>
          <w:rFonts w:ascii="Garamond" w:hAnsi="Garamond"/>
        </w:rPr>
        <w:t>To understand how authors link questions to</w:t>
      </w:r>
      <w:r w:rsidR="001E082B">
        <w:rPr>
          <w:rFonts w:ascii="Garamond" w:hAnsi="Garamond"/>
        </w:rPr>
        <w:t xml:space="preserve"> the selection of</w:t>
      </w:r>
      <w:r w:rsidRPr="001579D8">
        <w:rPr>
          <w:rFonts w:ascii="Garamond" w:hAnsi="Garamond"/>
        </w:rPr>
        <w:t xml:space="preserve"> appropriate </w:t>
      </w:r>
      <w:r w:rsidR="001E082B">
        <w:rPr>
          <w:rFonts w:ascii="Garamond" w:hAnsi="Garamond"/>
        </w:rPr>
        <w:t xml:space="preserve">research </w:t>
      </w:r>
      <w:r w:rsidRPr="001579D8">
        <w:rPr>
          <w:rFonts w:ascii="Garamond" w:hAnsi="Garamond"/>
        </w:rPr>
        <w:t>methods for developing answers;</w:t>
      </w:r>
    </w:p>
    <w:p w14:paraId="018BD163" w14:textId="77777777" w:rsidR="006B3A26" w:rsidRPr="001579D8" w:rsidRDefault="006B3A26" w:rsidP="006B3A26">
      <w:pPr>
        <w:numPr>
          <w:ilvl w:val="0"/>
          <w:numId w:val="4"/>
        </w:numPr>
        <w:tabs>
          <w:tab w:val="left" w:pos="720"/>
        </w:tabs>
        <w:spacing w:before="120" w:after="120"/>
        <w:rPr>
          <w:rFonts w:ascii="Garamond" w:hAnsi="Garamond"/>
          <w:position w:val="-2"/>
        </w:rPr>
      </w:pPr>
      <w:r w:rsidRPr="001579D8">
        <w:rPr>
          <w:rFonts w:ascii="Garamond" w:hAnsi="Garamond"/>
        </w:rPr>
        <w:t>To build research questions and methods that will support sustained inquiry;</w:t>
      </w:r>
    </w:p>
    <w:p w14:paraId="6BEC6162" w14:textId="77777777" w:rsidR="006B3A26" w:rsidRPr="001579D8" w:rsidRDefault="006B3A26" w:rsidP="006B3A26">
      <w:pPr>
        <w:numPr>
          <w:ilvl w:val="0"/>
          <w:numId w:val="4"/>
        </w:numPr>
        <w:tabs>
          <w:tab w:val="left" w:pos="720"/>
        </w:tabs>
        <w:spacing w:before="120" w:after="120"/>
        <w:rPr>
          <w:rFonts w:ascii="Garamond" w:hAnsi="Garamond"/>
          <w:position w:val="-2"/>
        </w:rPr>
      </w:pPr>
      <w:r w:rsidRPr="001579D8">
        <w:rPr>
          <w:rFonts w:ascii="Garamond" w:hAnsi="Garamond"/>
        </w:rPr>
        <w:t>To learn the role that literature reviews; theoretical and analytical frameworks, research epistemology; question formation and data analysis strategies play in research activities.</w:t>
      </w:r>
    </w:p>
    <w:p w14:paraId="6660E310" w14:textId="77777777" w:rsidR="006B3A26" w:rsidRPr="001579D8" w:rsidRDefault="006B3A26">
      <w:pPr>
        <w:pStyle w:val="Heading2A"/>
        <w:rPr>
          <w:rFonts w:ascii="Garamond" w:hAnsi="Garamond"/>
          <w:i w:val="0"/>
          <w:sz w:val="24"/>
        </w:rPr>
      </w:pPr>
      <w:r w:rsidRPr="001579D8">
        <w:rPr>
          <w:rFonts w:ascii="Garamond" w:hAnsi="Garamond"/>
          <w:i w:val="0"/>
          <w:sz w:val="24"/>
        </w:rPr>
        <w:t>Required Texts</w:t>
      </w:r>
    </w:p>
    <w:p w14:paraId="2DF3C8EF" w14:textId="77777777" w:rsidR="006B3A26" w:rsidRPr="001579D8" w:rsidRDefault="00FF037B">
      <w:pPr>
        <w:rPr>
          <w:rFonts w:ascii="Garamond" w:hAnsi="Garamond"/>
        </w:rPr>
      </w:pPr>
      <w:r>
        <w:rPr>
          <w:rFonts w:ascii="Garamond" w:hAnsi="Garamond"/>
        </w:rPr>
        <w:t>T</w:t>
      </w:r>
      <w:r w:rsidR="006B3A26" w:rsidRPr="001579D8">
        <w:rPr>
          <w:rFonts w:ascii="Garamond" w:hAnsi="Garamond"/>
        </w:rPr>
        <w:t xml:space="preserve">exts will be available </w:t>
      </w:r>
      <w:r>
        <w:rPr>
          <w:rFonts w:ascii="Garamond" w:hAnsi="Garamond"/>
        </w:rPr>
        <w:t>through Amazon; readings will le available in .</w:t>
      </w:r>
      <w:proofErr w:type="spellStart"/>
      <w:r>
        <w:rPr>
          <w:rFonts w:ascii="Garamond" w:hAnsi="Garamond"/>
        </w:rPr>
        <w:t>pdf</w:t>
      </w:r>
      <w:proofErr w:type="spellEnd"/>
      <w:r>
        <w:rPr>
          <w:rFonts w:ascii="Garamond" w:hAnsi="Garamond"/>
        </w:rPr>
        <w:t xml:space="preserve"> form through the course web-site. </w:t>
      </w:r>
    </w:p>
    <w:p w14:paraId="7C7056C8" w14:textId="77777777" w:rsidR="006B3A26" w:rsidRPr="001579D8" w:rsidRDefault="006B3A26">
      <w:pPr>
        <w:pStyle w:val="Heading2A"/>
        <w:rPr>
          <w:rFonts w:ascii="Garamond" w:hAnsi="Garamond"/>
          <w:i w:val="0"/>
          <w:sz w:val="24"/>
        </w:rPr>
      </w:pPr>
      <w:r w:rsidRPr="001579D8">
        <w:rPr>
          <w:rFonts w:ascii="Garamond" w:hAnsi="Garamond"/>
          <w:i w:val="0"/>
          <w:sz w:val="24"/>
        </w:rPr>
        <w:t>Class Format</w:t>
      </w:r>
    </w:p>
    <w:p w14:paraId="7CBE2E50" w14:textId="77777777" w:rsidR="005B5107" w:rsidRDefault="006B3A26">
      <w:pPr>
        <w:rPr>
          <w:rFonts w:ascii="Garamond" w:hAnsi="Garamond"/>
        </w:rPr>
      </w:pPr>
      <w:r w:rsidRPr="001579D8">
        <w:rPr>
          <w:rFonts w:ascii="Garamond" w:hAnsi="Garamond"/>
        </w:rPr>
        <w:t xml:space="preserve">This course will meet </w:t>
      </w:r>
      <w:r w:rsidR="005B5107">
        <w:rPr>
          <w:rFonts w:ascii="Garamond" w:hAnsi="Garamond"/>
        </w:rPr>
        <w:t>five times over the course of the semester</w:t>
      </w:r>
      <w:r w:rsidRPr="001579D8">
        <w:rPr>
          <w:rFonts w:ascii="Garamond" w:hAnsi="Garamond"/>
        </w:rPr>
        <w:t xml:space="preserve">. </w:t>
      </w:r>
      <w:r w:rsidR="005B5107">
        <w:rPr>
          <w:rFonts w:ascii="Garamond" w:hAnsi="Garamond"/>
        </w:rPr>
        <w:t>Here is the calendar for meeting times:</w:t>
      </w:r>
    </w:p>
    <w:p w14:paraId="2703B66A" w14:textId="77777777" w:rsidR="005B5107" w:rsidRDefault="005B5107">
      <w:pPr>
        <w:rPr>
          <w:rFonts w:ascii="Garamond" w:hAnsi="Garamond"/>
        </w:rPr>
      </w:pPr>
    </w:p>
    <w:p w14:paraId="5479C404" w14:textId="77777777" w:rsidR="005B5107" w:rsidRDefault="005B5107">
      <w:pPr>
        <w:rPr>
          <w:rFonts w:ascii="Garamond" w:hAnsi="Garamond"/>
        </w:rPr>
      </w:pPr>
      <w:r>
        <w:rPr>
          <w:rFonts w:ascii="Garamond" w:hAnsi="Garamond"/>
        </w:rPr>
        <w:t>Sat 9/17: 8 AM-5 PM</w:t>
      </w:r>
    </w:p>
    <w:p w14:paraId="5E61C08B" w14:textId="77777777" w:rsidR="005B5107" w:rsidRDefault="005B5107">
      <w:pPr>
        <w:rPr>
          <w:rFonts w:ascii="Garamond" w:hAnsi="Garamond"/>
        </w:rPr>
      </w:pPr>
      <w:r>
        <w:rPr>
          <w:rFonts w:ascii="Garamond" w:hAnsi="Garamond"/>
        </w:rPr>
        <w:t>Sat 10/15: 8 AM-5 PM</w:t>
      </w:r>
    </w:p>
    <w:p w14:paraId="67246E55" w14:textId="77777777" w:rsidR="005B5107" w:rsidRDefault="005B5107">
      <w:pPr>
        <w:rPr>
          <w:rFonts w:ascii="Garamond" w:hAnsi="Garamond"/>
        </w:rPr>
      </w:pPr>
      <w:r>
        <w:rPr>
          <w:rFonts w:ascii="Garamond" w:hAnsi="Garamond"/>
        </w:rPr>
        <w:t>Sat 10/29: 8 AM- 2 PM</w:t>
      </w:r>
    </w:p>
    <w:p w14:paraId="7BA9AAE9" w14:textId="77777777" w:rsidR="005B5107" w:rsidRDefault="005B5107">
      <w:pPr>
        <w:rPr>
          <w:rFonts w:ascii="Garamond" w:hAnsi="Garamond"/>
        </w:rPr>
      </w:pPr>
      <w:r>
        <w:rPr>
          <w:rFonts w:ascii="Garamond" w:hAnsi="Garamond"/>
        </w:rPr>
        <w:t>Sat 11/12: 8 AM- 2 PM</w:t>
      </w:r>
    </w:p>
    <w:p w14:paraId="370EAC66" w14:textId="77777777" w:rsidR="005B5107" w:rsidRDefault="005B5107">
      <w:pPr>
        <w:rPr>
          <w:rFonts w:ascii="Garamond" w:hAnsi="Garamond"/>
        </w:rPr>
      </w:pPr>
      <w:r>
        <w:rPr>
          <w:rFonts w:ascii="Garamond" w:hAnsi="Garamond"/>
        </w:rPr>
        <w:t>Sat 12/3: 8 AM -1 PM</w:t>
      </w:r>
    </w:p>
    <w:p w14:paraId="48F8935B" w14:textId="77777777" w:rsidR="005B5107" w:rsidRDefault="005B5107">
      <w:pPr>
        <w:rPr>
          <w:rFonts w:ascii="Garamond" w:hAnsi="Garamond"/>
        </w:rPr>
      </w:pPr>
    </w:p>
    <w:p w14:paraId="0339DCC9" w14:textId="77777777" w:rsidR="006B3A26" w:rsidRPr="001579D8" w:rsidRDefault="006B3A26">
      <w:pPr>
        <w:rPr>
          <w:rFonts w:ascii="Garamond" w:hAnsi="Garamond"/>
        </w:rPr>
      </w:pPr>
      <w:r w:rsidRPr="001579D8">
        <w:rPr>
          <w:rFonts w:ascii="Garamond" w:hAnsi="Garamond"/>
        </w:rPr>
        <w:t>The course web-site (</w:t>
      </w:r>
      <w:hyperlink r:id="rId8" w:history="1">
        <w:r w:rsidR="001E5FAB" w:rsidRPr="008E4E95">
          <w:rPr>
            <w:rStyle w:val="Hyperlink"/>
            <w:rFonts w:ascii="Garamond" w:hAnsi="Garamond"/>
          </w:rPr>
          <w:t>https://learnuw.wisc.edu</w:t>
        </w:r>
      </w:hyperlink>
      <w:r w:rsidRPr="001579D8">
        <w:rPr>
          <w:rFonts w:ascii="Garamond" w:hAnsi="Garamond"/>
        </w:rPr>
        <w:t xml:space="preserve">/) will furnish the location for a majority of the administrative tasks (e.g. assignment submission and grading, group coordination, assignment posting) as </w:t>
      </w:r>
    </w:p>
    <w:p w14:paraId="5DD7AC83" w14:textId="77777777" w:rsidR="006B3A26" w:rsidRDefault="006B3A26">
      <w:pPr>
        <w:rPr>
          <w:rFonts w:ascii="Garamond" w:hAnsi="Garamond"/>
        </w:rPr>
      </w:pPr>
      <w:r w:rsidRPr="001579D8">
        <w:rPr>
          <w:rFonts w:ascii="Garamond" w:hAnsi="Garamond"/>
        </w:rPr>
        <w:t xml:space="preserve">well as a virtual space for group members to discuss and plan research projects.  Since we will use the course site extensively, access to </w:t>
      </w:r>
      <w:r w:rsidRPr="001579D8">
        <w:rPr>
          <w:rFonts w:ascii="Garamond" w:hAnsi="Garamond"/>
        </w:rPr>
        <w:lastRenderedPageBreak/>
        <w:t>an Internet capable computer is a requirement for successful completion of the course.</w:t>
      </w:r>
    </w:p>
    <w:p w14:paraId="3601FEDA" w14:textId="77777777" w:rsidR="005B5107" w:rsidRDefault="005B5107">
      <w:pPr>
        <w:rPr>
          <w:rFonts w:ascii="Garamond" w:hAnsi="Garamond"/>
        </w:rPr>
      </w:pPr>
    </w:p>
    <w:p w14:paraId="1AC7EE0B" w14:textId="77777777" w:rsidR="00FA2F7E" w:rsidRDefault="005B5107">
      <w:pPr>
        <w:rPr>
          <w:rFonts w:ascii="Garamond" w:hAnsi="Garamond"/>
        </w:rPr>
      </w:pPr>
      <w:r w:rsidRPr="006219F7">
        <w:rPr>
          <w:rFonts w:ascii="Garamond" w:hAnsi="Garamond"/>
          <w:b/>
        </w:rPr>
        <w:t>Class 1 (9/17)</w:t>
      </w:r>
      <w:r w:rsidR="006219F7">
        <w:rPr>
          <w:rFonts w:ascii="Garamond" w:hAnsi="Garamond"/>
        </w:rPr>
        <w:t>.</w:t>
      </w:r>
      <w:r>
        <w:rPr>
          <w:rFonts w:ascii="Garamond" w:hAnsi="Garamond"/>
        </w:rPr>
        <w:t xml:space="preserve">  </w:t>
      </w:r>
    </w:p>
    <w:p w14:paraId="43DF2AC4" w14:textId="77777777" w:rsidR="00FA2F7E" w:rsidRDefault="005B5107">
      <w:pPr>
        <w:rPr>
          <w:rFonts w:ascii="Garamond" w:hAnsi="Garamond"/>
        </w:rPr>
      </w:pPr>
      <w:r w:rsidRPr="005B5107">
        <w:rPr>
          <w:rFonts w:ascii="Garamond" w:hAnsi="Garamond"/>
          <w:i/>
        </w:rPr>
        <w:t>Problematizing Education</w:t>
      </w:r>
      <w:r>
        <w:rPr>
          <w:rFonts w:ascii="Garamond" w:hAnsi="Garamond"/>
        </w:rPr>
        <w:t xml:space="preserve">.  </w:t>
      </w:r>
    </w:p>
    <w:p w14:paraId="059AB2D6" w14:textId="63788B61" w:rsidR="005B5107" w:rsidRDefault="005B5107">
      <w:pPr>
        <w:rPr>
          <w:rFonts w:ascii="Garamond" w:hAnsi="Garamond"/>
        </w:rPr>
      </w:pPr>
      <w:r>
        <w:rPr>
          <w:rFonts w:ascii="Garamond" w:hAnsi="Garamond"/>
        </w:rPr>
        <w:t xml:space="preserve">We will read several provocative education thinkers to help us unpack what education means in the contemporary world, how leaders can create schools that matter, and consider the central questions of contemporary education research. We will focus on the current debate over the quality and future of public schooling through discussion, collaborative design activities and videos.   </w:t>
      </w:r>
    </w:p>
    <w:p w14:paraId="1ACB73B7" w14:textId="77777777" w:rsidR="004B695B" w:rsidRDefault="004B695B">
      <w:pPr>
        <w:rPr>
          <w:rFonts w:ascii="Garamond" w:hAnsi="Garamond"/>
        </w:rPr>
      </w:pPr>
    </w:p>
    <w:p w14:paraId="7BF40947" w14:textId="2E01F749" w:rsidR="005B5107" w:rsidRDefault="004B695B">
      <w:pPr>
        <w:rPr>
          <w:rFonts w:ascii="Garamond" w:hAnsi="Garamond"/>
        </w:rPr>
      </w:pPr>
      <w:r w:rsidRPr="004B695B">
        <w:rPr>
          <w:rFonts w:ascii="Garamond" w:hAnsi="Garamond"/>
          <w:i/>
        </w:rPr>
        <w:t>Readings</w:t>
      </w:r>
      <w:r>
        <w:rPr>
          <w:rFonts w:ascii="Garamond" w:hAnsi="Garamond"/>
        </w:rPr>
        <w:t>:</w:t>
      </w:r>
    </w:p>
    <w:p w14:paraId="2ADC1D8F" w14:textId="6B5716E7" w:rsidR="00A9682D" w:rsidRPr="006219F7" w:rsidRDefault="00A9682D" w:rsidP="006219F7">
      <w:pPr>
        <w:pStyle w:val="ListParagraph"/>
        <w:numPr>
          <w:ilvl w:val="0"/>
          <w:numId w:val="5"/>
        </w:numPr>
        <w:ind w:left="360"/>
        <w:rPr>
          <w:rFonts w:ascii="Garamond" w:hAnsi="Garamond"/>
        </w:rPr>
      </w:pPr>
      <w:r w:rsidRPr="006219F7">
        <w:rPr>
          <w:rFonts w:ascii="Garamond" w:hAnsi="Garamond"/>
        </w:rPr>
        <w:t xml:space="preserve">Dewey, J. (1997). </w:t>
      </w:r>
      <w:hyperlink r:id="rId9" w:history="1">
        <w:r w:rsidRPr="006219F7">
          <w:rPr>
            <w:rStyle w:val="Hyperlink"/>
            <w:rFonts w:ascii="Garamond" w:hAnsi="Garamond"/>
            <w:i/>
          </w:rPr>
          <w:t>Experience and Education</w:t>
        </w:r>
      </w:hyperlink>
      <w:r w:rsidRPr="006219F7">
        <w:rPr>
          <w:rFonts w:ascii="Garamond" w:hAnsi="Garamond"/>
        </w:rPr>
        <w:t>. Free Press.</w:t>
      </w:r>
      <w:r w:rsidR="004045BA" w:rsidRPr="006219F7">
        <w:rPr>
          <w:rFonts w:ascii="Garamond" w:hAnsi="Garamond"/>
        </w:rPr>
        <w:t xml:space="preserve">  (a .</w:t>
      </w:r>
      <w:proofErr w:type="spellStart"/>
      <w:r w:rsidR="004045BA" w:rsidRPr="006219F7">
        <w:rPr>
          <w:rFonts w:ascii="Garamond" w:hAnsi="Garamond"/>
        </w:rPr>
        <w:t>pdf</w:t>
      </w:r>
      <w:proofErr w:type="spellEnd"/>
      <w:r w:rsidR="004045BA" w:rsidRPr="006219F7">
        <w:rPr>
          <w:rFonts w:ascii="Garamond" w:hAnsi="Garamond"/>
        </w:rPr>
        <w:t xml:space="preserve"> version is </w:t>
      </w:r>
      <w:hyperlink r:id="rId10" w:history="1">
        <w:r w:rsidR="004045BA" w:rsidRPr="006219F7">
          <w:rPr>
            <w:rStyle w:val="Hyperlink"/>
            <w:rFonts w:ascii="Garamond" w:hAnsi="Garamond"/>
          </w:rPr>
          <w:t>here</w:t>
        </w:r>
      </w:hyperlink>
      <w:r w:rsidR="004045BA" w:rsidRPr="006219F7">
        <w:rPr>
          <w:rFonts w:ascii="Garamond" w:hAnsi="Garamond"/>
        </w:rPr>
        <w:t>)</w:t>
      </w:r>
    </w:p>
    <w:p w14:paraId="55036DFB" w14:textId="0E26B690" w:rsidR="004652C7" w:rsidRPr="006219F7" w:rsidRDefault="004B695B" w:rsidP="006219F7">
      <w:pPr>
        <w:pStyle w:val="ListParagraph"/>
        <w:numPr>
          <w:ilvl w:val="0"/>
          <w:numId w:val="5"/>
        </w:numPr>
        <w:ind w:left="360"/>
        <w:rPr>
          <w:rFonts w:ascii="Garamond" w:hAnsi="Garamond"/>
        </w:rPr>
      </w:pPr>
      <w:r w:rsidRPr="006219F7">
        <w:rPr>
          <w:rFonts w:ascii="Garamond" w:hAnsi="Garamond"/>
        </w:rPr>
        <w:t>Ranciere, J. (</w:t>
      </w:r>
      <w:r w:rsidR="004652C7" w:rsidRPr="006219F7">
        <w:rPr>
          <w:rFonts w:ascii="Garamond" w:hAnsi="Garamond"/>
        </w:rPr>
        <w:t>1991).</w:t>
      </w:r>
      <w:hyperlink r:id="rId11" w:history="1">
        <w:r w:rsidR="004652C7" w:rsidRPr="006219F7">
          <w:rPr>
            <w:rStyle w:val="Hyperlink"/>
            <w:rFonts w:ascii="Garamond" w:hAnsi="Garamond"/>
            <w:i/>
          </w:rPr>
          <w:t xml:space="preserve"> The Ignorant Schoolmaster: Five Lessons in Intellectual Emancipation</w:t>
        </w:r>
        <w:r w:rsidR="004652C7" w:rsidRPr="006219F7">
          <w:rPr>
            <w:rStyle w:val="Hyperlink"/>
            <w:rFonts w:ascii="Garamond" w:hAnsi="Garamond"/>
          </w:rPr>
          <w:t>.</w:t>
        </w:r>
      </w:hyperlink>
      <w:r w:rsidR="004652C7" w:rsidRPr="006219F7">
        <w:rPr>
          <w:rFonts w:ascii="Garamond" w:hAnsi="Garamond"/>
        </w:rPr>
        <w:t xml:space="preserve"> Stanford University Press.</w:t>
      </w:r>
    </w:p>
    <w:p w14:paraId="1610D284" w14:textId="4365A89A" w:rsidR="00C92B08" w:rsidRPr="006219F7" w:rsidRDefault="00C92B08" w:rsidP="006219F7">
      <w:pPr>
        <w:pStyle w:val="ListParagraph"/>
        <w:numPr>
          <w:ilvl w:val="0"/>
          <w:numId w:val="5"/>
        </w:numPr>
        <w:ind w:left="360"/>
        <w:rPr>
          <w:rFonts w:ascii="Garamond" w:hAnsi="Garamond"/>
        </w:rPr>
      </w:pPr>
      <w:r w:rsidRPr="006219F7">
        <w:rPr>
          <w:rFonts w:ascii="Garamond" w:hAnsi="Garamond"/>
        </w:rPr>
        <w:t>Cohen, D. (1988</w:t>
      </w:r>
      <w:r w:rsidR="0090488D" w:rsidRPr="006219F7">
        <w:rPr>
          <w:rFonts w:ascii="Garamond" w:hAnsi="Garamond"/>
        </w:rPr>
        <w:t xml:space="preserve">). </w:t>
      </w:r>
      <w:hyperlink r:id="rId12" w:history="1">
        <w:r w:rsidRPr="006219F7">
          <w:rPr>
            <w:rStyle w:val="Hyperlink"/>
            <w:rFonts w:ascii="Garamond" w:hAnsi="Garamond"/>
            <w:i/>
          </w:rPr>
          <w:t xml:space="preserve">Teaching practice, plus </w:t>
        </w:r>
        <w:proofErr w:type="spellStart"/>
        <w:r w:rsidRPr="006219F7">
          <w:rPr>
            <w:rStyle w:val="Hyperlink"/>
            <w:rFonts w:ascii="Garamond" w:hAnsi="Garamond"/>
            <w:i/>
          </w:rPr>
          <w:t>que</w:t>
        </w:r>
        <w:proofErr w:type="spellEnd"/>
        <w:r w:rsidRPr="006219F7">
          <w:rPr>
            <w:rStyle w:val="Hyperlink"/>
            <w:rFonts w:ascii="Garamond" w:hAnsi="Garamond"/>
            <w:i/>
          </w:rPr>
          <w:t xml:space="preserve"> </w:t>
        </w:r>
        <w:proofErr w:type="spellStart"/>
        <w:r w:rsidRPr="006219F7">
          <w:rPr>
            <w:rStyle w:val="Hyperlink"/>
            <w:rFonts w:ascii="Garamond" w:hAnsi="Garamond"/>
            <w:i/>
          </w:rPr>
          <w:t>ca</w:t>
        </w:r>
        <w:proofErr w:type="spellEnd"/>
        <w:r w:rsidRPr="006219F7">
          <w:rPr>
            <w:rStyle w:val="Hyperlink"/>
            <w:rFonts w:ascii="Garamond" w:hAnsi="Garamond"/>
            <w:i/>
          </w:rPr>
          <w:t xml:space="preserve"> change</w:t>
        </w:r>
        <w:r w:rsidRPr="006219F7">
          <w:rPr>
            <w:rStyle w:val="Hyperlink"/>
            <w:rFonts w:ascii="Garamond" w:hAnsi="Garamond"/>
          </w:rPr>
          <w:t>.</w:t>
        </w:r>
      </w:hyperlink>
      <w:r w:rsidRPr="006219F7">
        <w:rPr>
          <w:rFonts w:ascii="Garamond" w:hAnsi="Garamond"/>
        </w:rPr>
        <w:t xml:space="preserve"> In P. Jackson, (Ed.) Contributing to Educational Change: Perspectives on Research and Practice. Berkeley, CA: McCutchan. 27-84.</w:t>
      </w:r>
    </w:p>
    <w:p w14:paraId="1E68CF9F" w14:textId="77777777" w:rsidR="004045BA" w:rsidRPr="006219F7" w:rsidRDefault="004045BA" w:rsidP="006219F7">
      <w:pPr>
        <w:pStyle w:val="ListParagraph"/>
        <w:numPr>
          <w:ilvl w:val="0"/>
          <w:numId w:val="5"/>
        </w:numPr>
        <w:ind w:left="360"/>
        <w:rPr>
          <w:rFonts w:ascii="Garamond" w:hAnsi="Garamond"/>
        </w:rPr>
      </w:pPr>
      <w:r w:rsidRPr="006219F7">
        <w:rPr>
          <w:rFonts w:ascii="Garamond" w:hAnsi="Garamond"/>
        </w:rPr>
        <w:t xml:space="preserve">Elmore, R.  (2000). </w:t>
      </w:r>
      <w:hyperlink r:id="rId13" w:history="1">
        <w:r w:rsidRPr="006219F7">
          <w:rPr>
            <w:rStyle w:val="Hyperlink"/>
            <w:rFonts w:ascii="Garamond" w:hAnsi="Garamond"/>
            <w:i/>
          </w:rPr>
          <w:t>Building a New Structure for School Leadership</w:t>
        </w:r>
      </w:hyperlink>
      <w:r w:rsidRPr="006219F7">
        <w:rPr>
          <w:rFonts w:ascii="Garamond" w:hAnsi="Garamond"/>
        </w:rPr>
        <w:t xml:space="preserve">.  Albert Shanker Institute. </w:t>
      </w:r>
    </w:p>
    <w:p w14:paraId="35F1CD0C" w14:textId="77777777" w:rsidR="00C92B08" w:rsidRDefault="00C92B08">
      <w:pPr>
        <w:rPr>
          <w:rFonts w:ascii="Garamond" w:hAnsi="Garamond"/>
        </w:rPr>
      </w:pPr>
    </w:p>
    <w:p w14:paraId="2287E17B" w14:textId="77777777" w:rsidR="00FA2F7E" w:rsidRDefault="005B5107">
      <w:pPr>
        <w:rPr>
          <w:rFonts w:ascii="Garamond" w:hAnsi="Garamond"/>
        </w:rPr>
      </w:pPr>
      <w:r w:rsidRPr="006219F7">
        <w:rPr>
          <w:rFonts w:ascii="Garamond" w:hAnsi="Garamond"/>
          <w:b/>
        </w:rPr>
        <w:t>Class 2 (10/15).</w:t>
      </w:r>
      <w:r>
        <w:rPr>
          <w:rFonts w:ascii="Garamond" w:hAnsi="Garamond"/>
        </w:rPr>
        <w:t xml:space="preserve"> </w:t>
      </w:r>
    </w:p>
    <w:p w14:paraId="63268373" w14:textId="77777777" w:rsidR="00FA2F7E" w:rsidRDefault="005B5107">
      <w:pPr>
        <w:rPr>
          <w:rFonts w:ascii="Garamond" w:hAnsi="Garamond"/>
        </w:rPr>
      </w:pPr>
      <w:r w:rsidRPr="005B5107">
        <w:rPr>
          <w:rFonts w:ascii="Garamond" w:hAnsi="Garamond"/>
          <w:i/>
        </w:rPr>
        <w:t>Teaching and Learning</w:t>
      </w:r>
      <w:r w:rsidR="004B695B">
        <w:rPr>
          <w:rFonts w:ascii="Garamond" w:hAnsi="Garamond"/>
        </w:rPr>
        <w:t xml:space="preserve"> </w:t>
      </w:r>
    </w:p>
    <w:p w14:paraId="18540760" w14:textId="74B33212" w:rsidR="005B5107" w:rsidRDefault="00FA2F7E">
      <w:pPr>
        <w:rPr>
          <w:rFonts w:ascii="Garamond" w:hAnsi="Garamond"/>
        </w:rPr>
      </w:pPr>
      <w:r>
        <w:rPr>
          <w:rFonts w:ascii="Garamond" w:hAnsi="Garamond"/>
        </w:rPr>
        <w:t xml:space="preserve">Teaching and learning </w:t>
      </w:r>
      <w:r w:rsidR="004B695B">
        <w:rPr>
          <w:rFonts w:ascii="Garamond" w:hAnsi="Garamond"/>
        </w:rPr>
        <w:t>constitute the core practices of schooling. Leaders are responsible for establishing the conditions of teaching and learning in schools.  During today’s class, we will consider several ways that leadership researchers address classroom teaching and learning including video analysis, student testing and new methods for evaluating teacher performance.</w:t>
      </w:r>
    </w:p>
    <w:p w14:paraId="39615DF2" w14:textId="42961EE0" w:rsidR="006219F7" w:rsidRPr="006219F7" w:rsidRDefault="006219F7">
      <w:pPr>
        <w:rPr>
          <w:rFonts w:ascii="Garamond" w:hAnsi="Garamond"/>
          <w:i/>
        </w:rPr>
      </w:pPr>
      <w:r w:rsidRPr="006219F7">
        <w:rPr>
          <w:rFonts w:ascii="Garamond" w:hAnsi="Garamond"/>
          <w:i/>
        </w:rPr>
        <w:t>Readings:</w:t>
      </w:r>
    </w:p>
    <w:p w14:paraId="21AF21A1" w14:textId="59B26F49" w:rsidR="001C6D97" w:rsidRPr="006219F7" w:rsidRDefault="001C6D97" w:rsidP="006219F7">
      <w:pPr>
        <w:pStyle w:val="ListParagraph"/>
        <w:numPr>
          <w:ilvl w:val="0"/>
          <w:numId w:val="6"/>
        </w:numPr>
        <w:ind w:left="360"/>
        <w:rPr>
          <w:rFonts w:ascii="Garamond" w:hAnsi="Garamond"/>
        </w:rPr>
      </w:pPr>
      <w:r w:rsidRPr="006219F7">
        <w:rPr>
          <w:rFonts w:ascii="Garamond" w:hAnsi="Garamond"/>
        </w:rPr>
        <w:t xml:space="preserve">Perlstein, L. (2007). </w:t>
      </w:r>
      <w:hyperlink r:id="rId14" w:history="1">
        <w:r w:rsidRPr="006219F7">
          <w:rPr>
            <w:rStyle w:val="Hyperlink"/>
            <w:rFonts w:ascii="Garamond" w:hAnsi="Garamond"/>
            <w:i/>
          </w:rPr>
          <w:t>Tested: One American School Struggles to Make the Grade</w:t>
        </w:r>
      </w:hyperlink>
      <w:r w:rsidRPr="006219F7">
        <w:rPr>
          <w:rFonts w:ascii="Garamond" w:hAnsi="Garamond"/>
        </w:rPr>
        <w:t xml:space="preserve">.  Henry Holt. </w:t>
      </w:r>
    </w:p>
    <w:p w14:paraId="53B982A4" w14:textId="373AEE4F" w:rsidR="001C6D97" w:rsidRPr="006219F7" w:rsidRDefault="001C6D97" w:rsidP="006219F7">
      <w:pPr>
        <w:pStyle w:val="ListParagraph"/>
        <w:numPr>
          <w:ilvl w:val="0"/>
          <w:numId w:val="6"/>
        </w:numPr>
        <w:ind w:left="360"/>
        <w:rPr>
          <w:rFonts w:ascii="Garamond" w:hAnsi="Garamond"/>
        </w:rPr>
      </w:pPr>
      <w:r w:rsidRPr="006219F7">
        <w:rPr>
          <w:rFonts w:ascii="Garamond" w:hAnsi="Garamond"/>
        </w:rPr>
        <w:t xml:space="preserve">Tucker, P. &amp; Stronge, J. (2005). </w:t>
      </w:r>
      <w:hyperlink r:id="rId15" w:history="1">
        <w:r w:rsidRPr="006219F7">
          <w:rPr>
            <w:rStyle w:val="Hyperlink"/>
            <w:rFonts w:ascii="Garamond" w:hAnsi="Garamond"/>
          </w:rPr>
          <w:t>Linking Teacher Evaluation and Student Learning</w:t>
        </w:r>
      </w:hyperlink>
      <w:r w:rsidRPr="006219F7">
        <w:rPr>
          <w:rFonts w:ascii="Garamond" w:hAnsi="Garamond"/>
        </w:rPr>
        <w:t>.  ASCD Press.</w:t>
      </w:r>
    </w:p>
    <w:p w14:paraId="0A6F0F1F" w14:textId="42DB7549" w:rsidR="004045BA" w:rsidRPr="006219F7" w:rsidRDefault="004D272D" w:rsidP="006219F7">
      <w:pPr>
        <w:pStyle w:val="ListParagraph"/>
        <w:numPr>
          <w:ilvl w:val="0"/>
          <w:numId w:val="6"/>
        </w:numPr>
        <w:ind w:left="360"/>
        <w:rPr>
          <w:rFonts w:ascii="Garamond" w:hAnsi="Garamond"/>
        </w:rPr>
      </w:pPr>
      <w:r w:rsidRPr="006219F7">
        <w:rPr>
          <w:rFonts w:ascii="Garamond" w:hAnsi="Garamond"/>
        </w:rPr>
        <w:t xml:space="preserve">Halverson, R. &amp; Clifford, M. (2006). </w:t>
      </w:r>
      <w:hyperlink r:id="rId16" w:history="1">
        <w:r w:rsidRPr="006219F7">
          <w:rPr>
            <w:rStyle w:val="Hyperlink"/>
            <w:rFonts w:ascii="Garamond" w:hAnsi="Garamond"/>
          </w:rPr>
          <w:t>Evaluation in the Wild: A Distributed Cognition Perspective on Teacher Assessment</w:t>
        </w:r>
      </w:hyperlink>
      <w:r w:rsidRPr="006219F7">
        <w:rPr>
          <w:rFonts w:ascii="Garamond" w:hAnsi="Garamond"/>
        </w:rPr>
        <w:t xml:space="preserve">. </w:t>
      </w:r>
      <w:r w:rsidRPr="006219F7">
        <w:rPr>
          <w:rFonts w:ascii="Garamond" w:hAnsi="Garamond"/>
          <w:i/>
        </w:rPr>
        <w:t>Education Administration Quarterly 39</w:t>
      </w:r>
      <w:r w:rsidRPr="006219F7">
        <w:rPr>
          <w:rFonts w:ascii="Garamond" w:hAnsi="Garamond"/>
        </w:rPr>
        <w:t xml:space="preserve">.  </w:t>
      </w:r>
    </w:p>
    <w:p w14:paraId="096140A7" w14:textId="3CEBD9E7" w:rsidR="006B3B44" w:rsidRDefault="006B3B44" w:rsidP="006219F7">
      <w:pPr>
        <w:pStyle w:val="ListParagraph"/>
        <w:numPr>
          <w:ilvl w:val="0"/>
          <w:numId w:val="6"/>
        </w:numPr>
        <w:ind w:left="360"/>
        <w:rPr>
          <w:rFonts w:ascii="Garamond" w:hAnsi="Garamond"/>
        </w:rPr>
      </w:pPr>
      <w:r w:rsidRPr="006219F7">
        <w:rPr>
          <w:rFonts w:ascii="Garamond" w:hAnsi="Garamond"/>
        </w:rPr>
        <w:t xml:space="preserve">Gersten, R., Beckmann, S., Clarke, B., Foegen, A., Marsh, L., Star, J. R., &amp; Witzel, B. (2009). </w:t>
      </w:r>
      <w:hyperlink r:id="rId17" w:history="1">
        <w:r w:rsidRPr="006219F7">
          <w:rPr>
            <w:rStyle w:val="Hyperlink"/>
            <w:rFonts w:ascii="Garamond" w:hAnsi="Garamond"/>
            <w:i/>
            <w:iCs/>
          </w:rPr>
          <w:t>Assisting students struggling with mathematics: Response to Intervention (RtI) for elementary and middle schools</w:t>
        </w:r>
      </w:hyperlink>
      <w:r w:rsidRPr="006219F7">
        <w:rPr>
          <w:rFonts w:ascii="Garamond" w:hAnsi="Garamond"/>
          <w:i/>
          <w:iCs/>
        </w:rPr>
        <w:t xml:space="preserve"> </w:t>
      </w:r>
      <w:r w:rsidRPr="006219F7">
        <w:rPr>
          <w:rFonts w:ascii="Garamond" w:hAnsi="Garamond"/>
        </w:rPr>
        <w:t xml:space="preserve">(NCEE 2009-4060). Washington, DC: National Center for Education Evaluation and Regional Assistance, Institute of Education Sciences, U.S. Department of Education. </w:t>
      </w:r>
    </w:p>
    <w:p w14:paraId="5FD643F1" w14:textId="3946E0DA" w:rsidR="00863EF5" w:rsidRPr="00863EF5" w:rsidRDefault="00863EF5" w:rsidP="00863EF5">
      <w:pPr>
        <w:pStyle w:val="ListParagraph"/>
        <w:numPr>
          <w:ilvl w:val="0"/>
          <w:numId w:val="6"/>
        </w:numPr>
        <w:ind w:left="360"/>
        <w:rPr>
          <w:rFonts w:ascii="Garamond" w:hAnsi="Garamond"/>
        </w:rPr>
      </w:pPr>
      <w:r w:rsidRPr="00863EF5">
        <w:rPr>
          <w:rFonts w:ascii="Garamond" w:hAnsi="Garamond"/>
        </w:rPr>
        <w:t xml:space="preserve">Jenkins, H., Clinton, K., Purushotma, R., Robison, A. J., Weigel, M. (2007). </w:t>
      </w:r>
      <w:hyperlink r:id="rId18" w:history="1">
        <w:r w:rsidRPr="00863EF5">
          <w:rPr>
            <w:rStyle w:val="Hyperlink"/>
            <w:rFonts w:ascii="Garamond" w:hAnsi="Garamond"/>
            <w:i/>
          </w:rPr>
          <w:t>Confronting the challenges of participatory culture: Media education for the 21st Century</w:t>
        </w:r>
      </w:hyperlink>
      <w:r w:rsidRPr="00863EF5">
        <w:rPr>
          <w:rFonts w:ascii="Garamond" w:hAnsi="Garamond"/>
        </w:rPr>
        <w:t>. MacArthur Foundation Digital Media and Learning White Paper.</w:t>
      </w:r>
    </w:p>
    <w:p w14:paraId="62C92EF8" w14:textId="77777777" w:rsidR="004045BA" w:rsidRDefault="004045BA">
      <w:pPr>
        <w:rPr>
          <w:rFonts w:ascii="Garamond" w:hAnsi="Garamond"/>
        </w:rPr>
      </w:pPr>
    </w:p>
    <w:p w14:paraId="03623D68" w14:textId="77777777" w:rsidR="00FA2F7E" w:rsidRDefault="005B5107">
      <w:pPr>
        <w:rPr>
          <w:rFonts w:ascii="Garamond" w:hAnsi="Garamond"/>
          <w:b/>
        </w:rPr>
      </w:pPr>
      <w:r w:rsidRPr="006219F7">
        <w:rPr>
          <w:rFonts w:ascii="Garamond" w:hAnsi="Garamond"/>
          <w:b/>
        </w:rPr>
        <w:t>Class 3 (10/29)</w:t>
      </w:r>
    </w:p>
    <w:p w14:paraId="5A4F94C9" w14:textId="77777777" w:rsidR="00FA2F7E" w:rsidRDefault="004B695B">
      <w:pPr>
        <w:rPr>
          <w:rFonts w:ascii="Garamond" w:hAnsi="Garamond"/>
        </w:rPr>
      </w:pPr>
      <w:r w:rsidRPr="004B695B">
        <w:rPr>
          <w:rFonts w:ascii="Garamond" w:hAnsi="Garamond"/>
          <w:i/>
        </w:rPr>
        <w:t>K-12 Leadership</w:t>
      </w:r>
      <w:r>
        <w:rPr>
          <w:rFonts w:ascii="Garamond" w:hAnsi="Garamond"/>
        </w:rPr>
        <w:t xml:space="preserve">. </w:t>
      </w:r>
    </w:p>
    <w:p w14:paraId="7DA40C42" w14:textId="3A0BBBA9" w:rsidR="006219F7" w:rsidRDefault="004B695B">
      <w:pPr>
        <w:rPr>
          <w:rFonts w:ascii="Garamond" w:hAnsi="Garamond"/>
        </w:rPr>
      </w:pPr>
      <w:r>
        <w:rPr>
          <w:rFonts w:ascii="Garamond" w:hAnsi="Garamond"/>
        </w:rPr>
        <w:t xml:space="preserve">School leadership research often has a distinctive policy and practical emphasis: researchers create the kinds of knowledge that practitioners can use to improve learning in schools.  Here we consider </w:t>
      </w:r>
      <w:r w:rsidR="006219F7">
        <w:rPr>
          <w:rFonts w:ascii="Garamond" w:hAnsi="Garamond"/>
        </w:rPr>
        <w:t>research on how leaders orchestrate people and re</w:t>
      </w:r>
      <w:bookmarkStart w:id="0" w:name="_GoBack"/>
      <w:bookmarkEnd w:id="0"/>
      <w:r w:rsidR="006219F7">
        <w:rPr>
          <w:rFonts w:ascii="Garamond" w:hAnsi="Garamond"/>
        </w:rPr>
        <w:t>sources to create powerful learning environments:</w:t>
      </w:r>
    </w:p>
    <w:p w14:paraId="0334C69A" w14:textId="77777777" w:rsidR="006219F7" w:rsidRDefault="006219F7" w:rsidP="006219F7">
      <w:pPr>
        <w:rPr>
          <w:rFonts w:ascii="Garamond" w:hAnsi="Garamond"/>
          <w:i/>
        </w:rPr>
      </w:pPr>
    </w:p>
    <w:p w14:paraId="3DEC8CDD" w14:textId="77777777" w:rsidR="006219F7" w:rsidRPr="006219F7" w:rsidRDefault="006219F7" w:rsidP="006219F7">
      <w:pPr>
        <w:rPr>
          <w:rFonts w:ascii="Garamond" w:hAnsi="Garamond"/>
          <w:i/>
        </w:rPr>
      </w:pPr>
      <w:r w:rsidRPr="006219F7">
        <w:rPr>
          <w:rFonts w:ascii="Garamond" w:hAnsi="Garamond"/>
          <w:i/>
        </w:rPr>
        <w:t>Readings:</w:t>
      </w:r>
    </w:p>
    <w:p w14:paraId="36E4D10E" w14:textId="2BA46884" w:rsidR="006219F7" w:rsidRDefault="00863EF5" w:rsidP="006219F7">
      <w:pPr>
        <w:pStyle w:val="ListParagraph"/>
        <w:numPr>
          <w:ilvl w:val="0"/>
          <w:numId w:val="6"/>
        </w:numPr>
        <w:ind w:left="360"/>
        <w:rPr>
          <w:rFonts w:ascii="Garamond" w:hAnsi="Garamond"/>
        </w:rPr>
      </w:pPr>
      <w:r>
        <w:rPr>
          <w:rFonts w:ascii="Garamond" w:hAnsi="Garamond"/>
        </w:rPr>
        <w:t>Odden, A.</w:t>
      </w:r>
      <w:r w:rsidR="006219F7">
        <w:rPr>
          <w:rFonts w:ascii="Garamond" w:hAnsi="Garamond"/>
        </w:rPr>
        <w:t xml:space="preserve"> (2011</w:t>
      </w:r>
      <w:r w:rsidR="006219F7" w:rsidRPr="006219F7">
        <w:rPr>
          <w:rFonts w:ascii="Garamond" w:hAnsi="Garamond"/>
        </w:rPr>
        <w:t xml:space="preserve">).  </w:t>
      </w:r>
      <w:hyperlink r:id="rId19" w:history="1">
        <w:r w:rsidRPr="00863EF5">
          <w:rPr>
            <w:rStyle w:val="Hyperlink"/>
            <w:rFonts w:ascii="Garamond" w:hAnsi="Garamond"/>
            <w:i/>
          </w:rPr>
          <w:t>Strategic Management of Human Capital in Education</w:t>
        </w:r>
      </w:hyperlink>
      <w:r>
        <w:rPr>
          <w:rFonts w:ascii="Garamond" w:hAnsi="Garamond"/>
        </w:rPr>
        <w:t>. Routledge</w:t>
      </w:r>
      <w:r w:rsidR="006219F7" w:rsidRPr="006219F7">
        <w:rPr>
          <w:rFonts w:ascii="Garamond" w:hAnsi="Garamond"/>
        </w:rPr>
        <w:t xml:space="preserve">. </w:t>
      </w:r>
    </w:p>
    <w:p w14:paraId="5DCDFACB" w14:textId="77777777" w:rsidR="00863EF5" w:rsidRDefault="00863EF5" w:rsidP="006219F7">
      <w:pPr>
        <w:pStyle w:val="ListParagraph"/>
        <w:numPr>
          <w:ilvl w:val="0"/>
          <w:numId w:val="6"/>
        </w:numPr>
        <w:ind w:left="360"/>
        <w:rPr>
          <w:rFonts w:ascii="Garamond" w:hAnsi="Garamond"/>
        </w:rPr>
      </w:pPr>
      <w:r>
        <w:rPr>
          <w:rFonts w:ascii="Garamond" w:hAnsi="Garamond"/>
        </w:rPr>
        <w:t xml:space="preserve">Bryk, A., Sebring, P., Allensworth, E., Luppescu, S. &amp; Easton, J. Q. (2010).  </w:t>
      </w:r>
      <w:hyperlink r:id="rId20" w:history="1">
        <w:r w:rsidRPr="00863EF5">
          <w:rPr>
            <w:rStyle w:val="Hyperlink"/>
            <w:rFonts w:ascii="Garamond" w:hAnsi="Garamond"/>
            <w:i/>
          </w:rPr>
          <w:t>Organizing Schools for Improvement: Lessons from Chicago</w:t>
        </w:r>
      </w:hyperlink>
      <w:r>
        <w:rPr>
          <w:rFonts w:ascii="Garamond" w:hAnsi="Garamond"/>
        </w:rPr>
        <w:t>. University of Chicago Press.</w:t>
      </w:r>
    </w:p>
    <w:p w14:paraId="5D4A4F0B" w14:textId="7DBCEE38" w:rsidR="00863EF5" w:rsidRDefault="00863EF5" w:rsidP="00863EF5">
      <w:pPr>
        <w:pStyle w:val="ListParagraph"/>
        <w:numPr>
          <w:ilvl w:val="0"/>
          <w:numId w:val="6"/>
        </w:numPr>
        <w:ind w:left="360"/>
        <w:rPr>
          <w:rFonts w:ascii="Garamond" w:hAnsi="Garamond"/>
        </w:rPr>
      </w:pPr>
      <w:r w:rsidRPr="006219F7">
        <w:rPr>
          <w:rFonts w:ascii="Garamond" w:hAnsi="Garamond"/>
        </w:rPr>
        <w:t xml:space="preserve">Salen, K., Torres, R., Wolozin, L., Rufo-Tepper, R. &amp; Shapiro, A. (2011). </w:t>
      </w:r>
      <w:hyperlink r:id="rId21" w:history="1">
        <w:r w:rsidRPr="006219F7">
          <w:rPr>
            <w:rStyle w:val="Hyperlink"/>
            <w:rFonts w:ascii="Garamond" w:hAnsi="Garamond"/>
            <w:i/>
          </w:rPr>
          <w:t>Quest to Learn: Developing the School for Digital Kids</w:t>
        </w:r>
      </w:hyperlink>
      <w:r w:rsidRPr="006219F7">
        <w:rPr>
          <w:rFonts w:ascii="Garamond" w:hAnsi="Garamond"/>
        </w:rPr>
        <w:t xml:space="preserve">.  MacArthur Foundation. </w:t>
      </w:r>
    </w:p>
    <w:p w14:paraId="540BC3EB" w14:textId="7B27622E" w:rsidR="00863EF5" w:rsidRPr="00863EF5" w:rsidRDefault="00863EF5" w:rsidP="00863EF5">
      <w:pPr>
        <w:pStyle w:val="ListParagraph"/>
        <w:numPr>
          <w:ilvl w:val="0"/>
          <w:numId w:val="6"/>
        </w:numPr>
        <w:ind w:left="360"/>
        <w:rPr>
          <w:rFonts w:ascii="Garamond" w:hAnsi="Garamond"/>
        </w:rPr>
      </w:pPr>
      <w:r>
        <w:rPr>
          <w:rFonts w:ascii="Garamond" w:hAnsi="Garamond"/>
        </w:rPr>
        <w:t xml:space="preserve">Halverson, R &amp; Halverson, E. (2011). </w:t>
      </w:r>
      <w:hyperlink r:id="rId22" w:history="1">
        <w:r w:rsidRPr="00863EF5">
          <w:rPr>
            <w:rStyle w:val="Hyperlink"/>
            <w:rFonts w:ascii="Garamond" w:hAnsi="Garamond"/>
          </w:rPr>
          <w:t>Education as Design for Learning: A Model for Integrating Education Inquiry Across Research Domains.</w:t>
        </w:r>
      </w:hyperlink>
      <w:r>
        <w:rPr>
          <w:rFonts w:ascii="Garamond" w:hAnsi="Garamond"/>
        </w:rPr>
        <w:t xml:space="preserve"> </w:t>
      </w:r>
      <w:r w:rsidRPr="00863EF5">
        <w:rPr>
          <w:rFonts w:ascii="Garamond" w:hAnsi="Garamond"/>
        </w:rPr>
        <w:t xml:space="preserve">In C. F. Conrad and R. C. Serlin (Eds.), </w:t>
      </w:r>
      <w:r w:rsidRPr="00863EF5">
        <w:rPr>
          <w:rFonts w:ascii="Garamond" w:hAnsi="Garamond"/>
          <w:i/>
        </w:rPr>
        <w:t>The SAGE handbook on research in education: Engaging ideas and enriching inquiry</w:t>
      </w:r>
      <w:r w:rsidRPr="00863EF5">
        <w:rPr>
          <w:rFonts w:ascii="Garamond" w:hAnsi="Garamond"/>
        </w:rPr>
        <w:t>.</w:t>
      </w:r>
      <w:r>
        <w:rPr>
          <w:rFonts w:ascii="Garamond" w:hAnsi="Garamond"/>
        </w:rPr>
        <w:t xml:space="preserve"> (2</w:t>
      </w:r>
      <w:r w:rsidRPr="00863EF5">
        <w:rPr>
          <w:rFonts w:ascii="Garamond" w:hAnsi="Garamond"/>
          <w:vertAlign w:val="superscript"/>
        </w:rPr>
        <w:t>nd</w:t>
      </w:r>
      <w:r>
        <w:rPr>
          <w:rFonts w:ascii="Garamond" w:hAnsi="Garamond"/>
        </w:rPr>
        <w:t xml:space="preserve"> Ed.) </w:t>
      </w:r>
      <w:r w:rsidRPr="00863EF5">
        <w:rPr>
          <w:rFonts w:ascii="Garamond" w:hAnsi="Garamond"/>
        </w:rPr>
        <w:t xml:space="preserve"> Thousand Oaks, CA: SAGE</w:t>
      </w:r>
    </w:p>
    <w:p w14:paraId="779AF7C9" w14:textId="498A5D1D" w:rsidR="005B5107" w:rsidRDefault="005B5107">
      <w:pPr>
        <w:rPr>
          <w:rFonts w:ascii="Garamond" w:hAnsi="Garamond"/>
        </w:rPr>
      </w:pPr>
    </w:p>
    <w:p w14:paraId="0F20D967" w14:textId="77777777" w:rsidR="005B5107" w:rsidRPr="00863EF5" w:rsidRDefault="005B5107">
      <w:pPr>
        <w:rPr>
          <w:rFonts w:ascii="Garamond" w:hAnsi="Garamond"/>
          <w:b/>
        </w:rPr>
      </w:pPr>
      <w:r w:rsidRPr="00863EF5">
        <w:rPr>
          <w:rFonts w:ascii="Garamond" w:hAnsi="Garamond"/>
          <w:b/>
        </w:rPr>
        <w:t>Class 4 (11/12)</w:t>
      </w:r>
    </w:p>
    <w:p w14:paraId="7A40EFCC" w14:textId="77777777" w:rsidR="005B5107" w:rsidRDefault="005B5107">
      <w:pPr>
        <w:rPr>
          <w:rFonts w:ascii="Garamond" w:hAnsi="Garamond"/>
        </w:rPr>
      </w:pPr>
    </w:p>
    <w:p w14:paraId="283C6BD5" w14:textId="77777777" w:rsidR="005B5107" w:rsidRDefault="005B5107">
      <w:pPr>
        <w:rPr>
          <w:rFonts w:ascii="Garamond" w:hAnsi="Garamond"/>
        </w:rPr>
      </w:pPr>
    </w:p>
    <w:p w14:paraId="5C230EA1" w14:textId="77777777" w:rsidR="00863EF5" w:rsidRDefault="00863EF5">
      <w:pPr>
        <w:rPr>
          <w:rFonts w:ascii="Garamond" w:hAnsi="Garamond"/>
        </w:rPr>
      </w:pPr>
    </w:p>
    <w:p w14:paraId="47F5224F" w14:textId="77777777" w:rsidR="00863EF5" w:rsidRDefault="00863EF5">
      <w:pPr>
        <w:rPr>
          <w:rFonts w:ascii="Garamond" w:hAnsi="Garamond"/>
        </w:rPr>
      </w:pPr>
    </w:p>
    <w:p w14:paraId="310194A2" w14:textId="77777777" w:rsidR="005B5107" w:rsidRPr="00863EF5" w:rsidRDefault="005B5107">
      <w:pPr>
        <w:rPr>
          <w:rFonts w:ascii="Garamond" w:hAnsi="Garamond"/>
          <w:b/>
        </w:rPr>
      </w:pPr>
      <w:r w:rsidRPr="00863EF5">
        <w:rPr>
          <w:rFonts w:ascii="Garamond" w:hAnsi="Garamond"/>
          <w:b/>
        </w:rPr>
        <w:t>Class 5 (12/3)</w:t>
      </w:r>
    </w:p>
    <w:p w14:paraId="24AFE4EB" w14:textId="77777777" w:rsidR="005B5107" w:rsidRDefault="005B5107">
      <w:pPr>
        <w:rPr>
          <w:rFonts w:ascii="Garamond" w:hAnsi="Garamond"/>
        </w:rPr>
      </w:pPr>
    </w:p>
    <w:p w14:paraId="0AEDCB97" w14:textId="77777777" w:rsidR="005B5107" w:rsidRDefault="005B5107">
      <w:pPr>
        <w:rPr>
          <w:rFonts w:ascii="Garamond" w:hAnsi="Garamond"/>
        </w:rPr>
      </w:pPr>
    </w:p>
    <w:p w14:paraId="5FA80684" w14:textId="77777777" w:rsidR="005B5107" w:rsidRDefault="005B5107">
      <w:pPr>
        <w:rPr>
          <w:rFonts w:ascii="Garamond" w:hAnsi="Garamond"/>
        </w:rPr>
      </w:pPr>
    </w:p>
    <w:p w14:paraId="4C0EEBAA" w14:textId="77777777" w:rsidR="005B5107" w:rsidRPr="001579D8" w:rsidRDefault="005B5107">
      <w:pPr>
        <w:rPr>
          <w:rFonts w:ascii="Garamond" w:hAnsi="Garamond"/>
          <w:i/>
        </w:rPr>
      </w:pPr>
    </w:p>
    <w:p w14:paraId="3804CCBB" w14:textId="0A3C9D7D" w:rsidR="006B3A26" w:rsidRPr="001579D8" w:rsidRDefault="006B3A26">
      <w:pPr>
        <w:rPr>
          <w:rFonts w:ascii="Garamond" w:hAnsi="Garamond"/>
        </w:rPr>
      </w:pPr>
      <w:r w:rsidRPr="001579D8">
        <w:rPr>
          <w:rFonts w:ascii="Garamond" w:hAnsi="Garamond"/>
        </w:rPr>
        <w:t xml:space="preserve"> </w:t>
      </w:r>
    </w:p>
    <w:p w14:paraId="2B2EFCD3" w14:textId="5D96F0B4" w:rsidR="006B3A26" w:rsidRPr="001579D8" w:rsidRDefault="006B3A26">
      <w:pPr>
        <w:pStyle w:val="Heading3A"/>
        <w:rPr>
          <w:rFonts w:ascii="Garamond" w:hAnsi="Garamond"/>
          <w:sz w:val="24"/>
        </w:rPr>
      </w:pPr>
      <w:r w:rsidRPr="001579D8">
        <w:rPr>
          <w:rFonts w:ascii="Garamond" w:hAnsi="Garamond"/>
          <w:sz w:val="24"/>
        </w:rPr>
        <w:t xml:space="preserve">Course </w:t>
      </w:r>
      <w:r w:rsidR="00FA2F7E">
        <w:rPr>
          <w:rFonts w:ascii="Garamond" w:hAnsi="Garamond"/>
          <w:sz w:val="24"/>
        </w:rPr>
        <w:t>Work</w:t>
      </w:r>
    </w:p>
    <w:p w14:paraId="44A5EACA" w14:textId="2289E5A5" w:rsidR="006B3A26" w:rsidRPr="001579D8" w:rsidRDefault="00FA2F7E" w:rsidP="00FA2F7E">
      <w:pPr>
        <w:tabs>
          <w:tab w:val="left" w:pos="0"/>
        </w:tabs>
        <w:rPr>
          <w:rFonts w:ascii="Garamond" w:hAnsi="Garamond"/>
        </w:rPr>
      </w:pPr>
      <w:r w:rsidRPr="001579D8">
        <w:rPr>
          <w:rFonts w:ascii="Garamond" w:hAnsi="Garamond"/>
        </w:rPr>
        <w:t xml:space="preserve">The typical class meeting will consist of a discussion of required readings, and an in-class activity such as a guest speaker, a case study discussion or a survey. Since class discussions are vital to the success of the class, your attendance and participation are required and will constitute a substantial portion of your final grade. </w:t>
      </w:r>
    </w:p>
    <w:p w14:paraId="0A3F164D" w14:textId="77777777" w:rsidR="00FA2F7E" w:rsidRPr="001579D8" w:rsidRDefault="00FA2F7E" w:rsidP="00FA2F7E">
      <w:pPr>
        <w:pStyle w:val="Heading3A"/>
        <w:rPr>
          <w:rFonts w:ascii="Garamond" w:hAnsi="Garamond"/>
          <w:b w:val="0"/>
          <w:i/>
          <w:sz w:val="24"/>
        </w:rPr>
      </w:pPr>
      <w:r w:rsidRPr="001579D8">
        <w:rPr>
          <w:rFonts w:ascii="Garamond" w:hAnsi="Garamond"/>
          <w:b w:val="0"/>
          <w:i/>
          <w:sz w:val="24"/>
        </w:rPr>
        <w:t>Reading and Reaction papers</w:t>
      </w:r>
    </w:p>
    <w:p w14:paraId="31474B1C" w14:textId="78C0E2C1" w:rsidR="00FA2F7E" w:rsidRPr="001579D8" w:rsidRDefault="00FA2F7E" w:rsidP="00FA2F7E">
      <w:pPr>
        <w:rPr>
          <w:rFonts w:ascii="Garamond" w:hAnsi="Garamond"/>
        </w:rPr>
      </w:pPr>
      <w:r w:rsidRPr="001579D8">
        <w:rPr>
          <w:rFonts w:ascii="Garamond" w:hAnsi="Garamond"/>
        </w:rPr>
        <w:t>Students will be expected to read several research papers or book chapters per class.</w:t>
      </w:r>
      <w:r>
        <w:rPr>
          <w:rFonts w:ascii="Garamond" w:hAnsi="Garamond"/>
        </w:rPr>
        <w:t xml:space="preserve">  Although class will meet once/month, students will be expected to submit reaction papers for each book/article weekly between class periods. </w:t>
      </w:r>
      <w:r w:rsidRPr="001579D8">
        <w:rPr>
          <w:rFonts w:ascii="Garamond" w:hAnsi="Garamond"/>
        </w:rPr>
        <w:t>class, students will prepare and post a 1 page (2</w:t>
      </w:r>
      <w:r>
        <w:rPr>
          <w:rFonts w:ascii="Garamond" w:hAnsi="Garamond"/>
        </w:rPr>
        <w:t>50</w:t>
      </w:r>
      <w:r w:rsidRPr="001579D8">
        <w:rPr>
          <w:rFonts w:ascii="Garamond" w:hAnsi="Garamond"/>
        </w:rPr>
        <w:t>-</w:t>
      </w:r>
      <w:r>
        <w:rPr>
          <w:rFonts w:ascii="Garamond" w:hAnsi="Garamond"/>
        </w:rPr>
        <w:t xml:space="preserve">300 </w:t>
      </w:r>
      <w:r w:rsidRPr="001579D8">
        <w:rPr>
          <w:rFonts w:ascii="Garamond" w:hAnsi="Garamond"/>
        </w:rPr>
        <w:t>word) reaction paper about the readings on the class web-site at https://learnuw.wisc.edu/.</w:t>
      </w:r>
    </w:p>
    <w:p w14:paraId="1719416C" w14:textId="77777777" w:rsidR="00FA2F7E" w:rsidRPr="001579D8" w:rsidRDefault="00FA2F7E" w:rsidP="00FA2F7E">
      <w:pPr>
        <w:rPr>
          <w:rFonts w:ascii="Garamond" w:hAnsi="Garamond"/>
        </w:rPr>
      </w:pPr>
    </w:p>
    <w:p w14:paraId="3EEF9451" w14:textId="01719DA5" w:rsidR="00FA2F7E" w:rsidRPr="001579D8" w:rsidRDefault="00FA2F7E" w:rsidP="00FA2F7E">
      <w:pPr>
        <w:rPr>
          <w:rFonts w:ascii="Garamond" w:hAnsi="Garamond"/>
        </w:rPr>
      </w:pPr>
      <w:r w:rsidRPr="001579D8">
        <w:rPr>
          <w:rFonts w:ascii="Garamond" w:hAnsi="Garamond"/>
        </w:rPr>
        <w:t>Students must write a reaction papers for each assigned week to receive full credit.  The reaction papers should be thoughtful and completed</w:t>
      </w:r>
      <w:r>
        <w:rPr>
          <w:rFonts w:ascii="Garamond" w:hAnsi="Garamond"/>
        </w:rPr>
        <w:t xml:space="preserve"> by 5 pm Friday</w:t>
      </w:r>
      <w:r>
        <w:rPr>
          <w:rFonts w:ascii="Garamond" w:hAnsi="Garamond"/>
        </w:rPr>
        <w:t xml:space="preserve"> afternoon</w:t>
      </w:r>
      <w:r>
        <w:rPr>
          <w:rFonts w:ascii="Garamond" w:hAnsi="Garamond"/>
        </w:rPr>
        <w:t>.</w:t>
      </w:r>
      <w:r>
        <w:rPr>
          <w:rFonts w:ascii="Garamond" w:hAnsi="Garamond"/>
        </w:rPr>
        <w:t xml:space="preserve"> </w:t>
      </w:r>
      <w:r>
        <w:rPr>
          <w:rFonts w:ascii="Garamond" w:hAnsi="Garamond"/>
        </w:rPr>
        <w:t xml:space="preserve">The instructor will comment on each reaction paper, and </w:t>
      </w:r>
      <w:r w:rsidRPr="001579D8">
        <w:rPr>
          <w:rFonts w:ascii="Garamond" w:hAnsi="Garamond"/>
        </w:rPr>
        <w:t xml:space="preserve">papers will be graded on a pass/fail standard.  </w:t>
      </w:r>
    </w:p>
    <w:p w14:paraId="2C2D33CE" w14:textId="77777777" w:rsidR="006B3A26" w:rsidRDefault="006B3A26">
      <w:pPr>
        <w:tabs>
          <w:tab w:val="left" w:pos="0"/>
        </w:tabs>
        <w:rPr>
          <w:rFonts w:ascii="Garamond" w:hAnsi="Garamond"/>
        </w:rPr>
      </w:pPr>
    </w:p>
    <w:p w14:paraId="38D2F50D" w14:textId="183E866D" w:rsidR="00FA2F7E" w:rsidRPr="00FA2F7E" w:rsidRDefault="00FA2F7E">
      <w:pPr>
        <w:tabs>
          <w:tab w:val="left" w:pos="0"/>
        </w:tabs>
        <w:rPr>
          <w:rFonts w:ascii="Garamond" w:hAnsi="Garamond"/>
          <w:i/>
        </w:rPr>
      </w:pPr>
      <w:r w:rsidRPr="00FA2F7E">
        <w:rPr>
          <w:rFonts w:ascii="Garamond" w:hAnsi="Garamond"/>
          <w:i/>
        </w:rPr>
        <w:t xml:space="preserve">In-Class </w:t>
      </w:r>
      <w:r>
        <w:rPr>
          <w:rFonts w:ascii="Garamond" w:hAnsi="Garamond"/>
          <w:i/>
        </w:rPr>
        <w:t>Activities</w:t>
      </w:r>
    </w:p>
    <w:p w14:paraId="7EB9755D" w14:textId="260F6CF0" w:rsidR="00FA2F7E" w:rsidRPr="001579D8" w:rsidRDefault="00FA2F7E">
      <w:pPr>
        <w:tabs>
          <w:tab w:val="left" w:pos="0"/>
        </w:tabs>
        <w:rPr>
          <w:rFonts w:ascii="Garamond" w:hAnsi="Garamond"/>
        </w:rPr>
      </w:pPr>
      <w:r>
        <w:rPr>
          <w:rFonts w:ascii="Garamond" w:hAnsi="Garamond"/>
        </w:rPr>
        <w:t xml:space="preserve">In addition, each class period will include a collaborative design activity intended to highlight the central ideas of the course.  Each design activity will be graded on a pass/fail basis. Each student must complete all design activities in order to pass the course. </w:t>
      </w:r>
    </w:p>
    <w:p w14:paraId="11F0BD1F" w14:textId="77777777" w:rsidR="006B3A26" w:rsidRPr="001579D8" w:rsidRDefault="006B3A26">
      <w:pPr>
        <w:pStyle w:val="Heading3A"/>
        <w:rPr>
          <w:rFonts w:ascii="Garamond" w:hAnsi="Garamond"/>
          <w:i/>
          <w:sz w:val="24"/>
        </w:rPr>
      </w:pPr>
      <w:r w:rsidRPr="001579D8">
        <w:rPr>
          <w:rFonts w:ascii="Garamond" w:hAnsi="Garamond"/>
          <w:sz w:val="24"/>
        </w:rPr>
        <w:t>Full Inclusion</w:t>
      </w:r>
    </w:p>
    <w:p w14:paraId="5B940303" w14:textId="77777777" w:rsidR="006B3A26" w:rsidRPr="001579D8" w:rsidRDefault="006B3A26">
      <w:pPr>
        <w:rPr>
          <w:rFonts w:ascii="Garamond" w:hAnsi="Garamond"/>
        </w:rPr>
      </w:pPr>
      <w:r w:rsidRPr="001579D8">
        <w:rPr>
          <w:rFonts w:ascii="Garamond" w:hAnsi="Garamond"/>
        </w:rPr>
        <w:t xml:space="preserve">We seek to fully include persons with disabilities in this course.  Please let us know if you need any special accommodations in the curriculum, instruction, or assessments in this course to enable you to fully participate.  We will try to maintain the confidentiality of the information that you share with me.  Please contact us as early in the course as practicable.  You may also contact the McBurney Disability Resource Center, 305 Linden Drive (263-2741 or FrontDesk@mcb.wisc.edu) if you have questions about campus policies and services.  Questions or concerns about disability accommodations can be brought to the attention of Associate Dean </w:t>
      </w:r>
      <w:r w:rsidR="00073302">
        <w:rPr>
          <w:rFonts w:ascii="Garamond" w:hAnsi="Garamond"/>
        </w:rPr>
        <w:t>Cheryl Hanley-Maxwell</w:t>
      </w:r>
      <w:r w:rsidRPr="001579D8">
        <w:rPr>
          <w:rFonts w:ascii="Garamond" w:hAnsi="Garamond"/>
        </w:rPr>
        <w:t xml:space="preserve"> (262-2463) or the Educational Leadership and Policy Analysis office (251-2486), the ELPA coordinator.</w:t>
      </w:r>
    </w:p>
    <w:p w14:paraId="58445F22" w14:textId="77777777" w:rsidR="006B3A26" w:rsidRPr="001579D8" w:rsidRDefault="006B3A26">
      <w:pPr>
        <w:pStyle w:val="Heading2A"/>
        <w:rPr>
          <w:rFonts w:ascii="Garamond" w:hAnsi="Garamond"/>
          <w:i w:val="0"/>
          <w:sz w:val="24"/>
        </w:rPr>
      </w:pPr>
      <w:r w:rsidRPr="001579D8">
        <w:rPr>
          <w:rFonts w:ascii="Garamond" w:hAnsi="Garamond"/>
          <w:i w:val="0"/>
          <w:sz w:val="24"/>
        </w:rPr>
        <w:t>Grading</w:t>
      </w:r>
    </w:p>
    <w:p w14:paraId="52027B69" w14:textId="77777777" w:rsidR="006B3A26" w:rsidRDefault="006B3A26">
      <w:pPr>
        <w:rPr>
          <w:rFonts w:ascii="Garamond" w:hAnsi="Garamond"/>
        </w:rPr>
      </w:pPr>
      <w:r w:rsidRPr="001579D8">
        <w:rPr>
          <w:rFonts w:ascii="Garamond" w:hAnsi="Garamond"/>
        </w:rPr>
        <w:t>Grades for the course will be calculated according to the University of Wisconsin grading scale. Class work will count in the following proportions toward your final grade:</w:t>
      </w:r>
    </w:p>
    <w:p w14:paraId="44453FBD" w14:textId="77777777" w:rsidR="006B3A26" w:rsidRPr="001579D8" w:rsidRDefault="006B3A26">
      <w:pPr>
        <w:rPr>
          <w:rFonts w:ascii="Garamond" w:hAnsi="Garamond"/>
        </w:rPr>
      </w:pPr>
    </w:p>
    <w:p w14:paraId="50E8CE63" w14:textId="5F323321" w:rsidR="006B3A26" w:rsidRPr="001579D8" w:rsidRDefault="00FA2F7E" w:rsidP="00FA2F7E">
      <w:pPr>
        <w:tabs>
          <w:tab w:val="right" w:pos="8640"/>
        </w:tabs>
        <w:ind w:left="720" w:hanging="709"/>
        <w:rPr>
          <w:rFonts w:ascii="Garamond" w:hAnsi="Garamond"/>
        </w:rPr>
      </w:pPr>
      <w:r>
        <w:rPr>
          <w:rFonts w:ascii="Garamond" w:hAnsi="Garamond"/>
        </w:rPr>
        <w:t>50</w:t>
      </w:r>
      <w:r w:rsidR="006B3A26" w:rsidRPr="001579D8">
        <w:rPr>
          <w:rFonts w:ascii="Garamond" w:hAnsi="Garamond"/>
        </w:rPr>
        <w:t xml:space="preserve">%  </w:t>
      </w:r>
      <w:r w:rsidR="006B3A26">
        <w:rPr>
          <w:rFonts w:ascii="Garamond" w:hAnsi="Garamond"/>
        </w:rPr>
        <w:tab/>
      </w:r>
      <w:r>
        <w:rPr>
          <w:rFonts w:ascii="Garamond" w:hAnsi="Garamond"/>
          <w:i/>
        </w:rPr>
        <w:t>Class Activities (5 at 10% each; graded pass/fail)</w:t>
      </w:r>
      <w:r w:rsidR="006B3A26" w:rsidRPr="001579D8">
        <w:rPr>
          <w:rFonts w:ascii="Garamond" w:hAnsi="Garamond"/>
        </w:rPr>
        <w:tab/>
      </w:r>
    </w:p>
    <w:p w14:paraId="3077EF6E" w14:textId="2907AF54" w:rsidR="00FF037B" w:rsidRPr="00FA2F7E" w:rsidRDefault="00FA2F7E" w:rsidP="00FA2F7E">
      <w:pPr>
        <w:tabs>
          <w:tab w:val="right" w:pos="8640"/>
        </w:tabs>
        <w:ind w:left="720" w:hanging="709"/>
        <w:rPr>
          <w:rFonts w:ascii="Garamond" w:hAnsi="Garamond"/>
        </w:rPr>
      </w:pPr>
      <w:r>
        <w:rPr>
          <w:rFonts w:ascii="Garamond" w:hAnsi="Garamond"/>
        </w:rPr>
        <w:t>50</w:t>
      </w:r>
      <w:r w:rsidR="006B3A26" w:rsidRPr="001579D8">
        <w:rPr>
          <w:rFonts w:ascii="Garamond" w:hAnsi="Garamond"/>
        </w:rPr>
        <w:t xml:space="preserve">%  </w:t>
      </w:r>
      <w:r w:rsidR="006B3A26">
        <w:rPr>
          <w:rFonts w:ascii="Garamond" w:hAnsi="Garamond"/>
        </w:rPr>
        <w:tab/>
      </w:r>
      <w:r w:rsidR="006B3A26" w:rsidRPr="001579D8">
        <w:rPr>
          <w:rFonts w:ascii="Garamond" w:hAnsi="Garamond"/>
          <w:i/>
        </w:rPr>
        <w:t>Reaction papers</w:t>
      </w:r>
      <w:r w:rsidR="006B3A26" w:rsidRPr="001579D8">
        <w:rPr>
          <w:rFonts w:ascii="Garamond" w:hAnsi="Garamond"/>
        </w:rPr>
        <w:t xml:space="preserve">  </w:t>
      </w:r>
    </w:p>
    <w:p w14:paraId="2FA124C1" w14:textId="77777777" w:rsidR="006B3A26" w:rsidRDefault="006B3A26">
      <w:pPr>
        <w:pStyle w:val="FreeForm"/>
        <w:spacing w:before="140"/>
        <w:ind w:left="1080" w:hanging="1080"/>
        <w:rPr>
          <w:rFonts w:ascii="Garamond" w:hAnsi="Garamond"/>
          <w:sz w:val="22"/>
        </w:rPr>
      </w:pPr>
    </w:p>
    <w:p w14:paraId="540BD95A" w14:textId="77777777" w:rsidR="006B3A26" w:rsidRDefault="006B3A26">
      <w:pPr>
        <w:pStyle w:val="FreeForm"/>
        <w:spacing w:before="140"/>
        <w:ind w:left="1080" w:hanging="1080"/>
        <w:rPr>
          <w:rFonts w:ascii="Garamond" w:hAnsi="Garamond"/>
          <w:sz w:val="22"/>
        </w:rPr>
      </w:pPr>
    </w:p>
    <w:p w14:paraId="659E3858" w14:textId="77777777" w:rsidR="006B3A26" w:rsidRDefault="006B3A26">
      <w:pPr>
        <w:pStyle w:val="FreeForm"/>
        <w:spacing w:before="140"/>
        <w:ind w:left="1080" w:hanging="1080"/>
        <w:rPr>
          <w:rFonts w:ascii="Garamond" w:hAnsi="Garamond"/>
          <w:sz w:val="22"/>
        </w:rPr>
      </w:pPr>
    </w:p>
    <w:p w14:paraId="01E48255" w14:textId="77777777" w:rsidR="006B3A26" w:rsidRDefault="006B3A26">
      <w:pPr>
        <w:pStyle w:val="FreeForm"/>
        <w:spacing w:before="140"/>
        <w:ind w:left="1080" w:hanging="1080"/>
        <w:rPr>
          <w:rFonts w:ascii="Garamond" w:hAnsi="Garamond"/>
          <w:sz w:val="22"/>
        </w:rPr>
      </w:pPr>
    </w:p>
    <w:p w14:paraId="36689BBF" w14:textId="77777777" w:rsidR="006B3A26" w:rsidRDefault="006B3A26">
      <w:pPr>
        <w:pStyle w:val="FreeForm"/>
        <w:spacing w:before="140"/>
        <w:ind w:left="1080" w:hanging="1080"/>
        <w:rPr>
          <w:rFonts w:ascii="Garamond" w:hAnsi="Garamond"/>
          <w:sz w:val="22"/>
        </w:rPr>
      </w:pPr>
    </w:p>
    <w:p w14:paraId="662BAFF3" w14:textId="77777777" w:rsidR="006B3A26" w:rsidRDefault="006B3A26">
      <w:pPr>
        <w:pStyle w:val="Header"/>
        <w:tabs>
          <w:tab w:val="clear" w:pos="4320"/>
          <w:tab w:val="clear" w:pos="8640"/>
        </w:tabs>
        <w:ind w:left="1080" w:hanging="1080"/>
        <w:rPr>
          <w:rFonts w:eastAsia="Times New Roman"/>
          <w:color w:val="auto"/>
          <w:sz w:val="20"/>
        </w:rPr>
      </w:pPr>
      <w:r>
        <w:rPr>
          <w:rFonts w:eastAsia="Times New Roman"/>
          <w:color w:val="auto"/>
          <w:sz w:val="20"/>
        </w:rPr>
        <w:tab/>
      </w:r>
    </w:p>
    <w:sectPr w:rsidR="006B3A26" w:rsidSect="00D50D27">
      <w:headerReference w:type="even" r:id="rId23"/>
      <w:headerReference w:type="default" r:id="rId24"/>
      <w:footerReference w:type="even" r:id="rId25"/>
      <w:footerReference w:type="default" r:id="rId26"/>
      <w:headerReference w:type="first" r:id="rId27"/>
      <w:footerReference w:type="first" r:id="rId28"/>
      <w:pgSz w:w="12240" w:h="15840"/>
      <w:pgMar w:top="1440" w:right="1350" w:bottom="1440" w:left="1800" w:header="720" w:footer="720" w:gutter="0"/>
      <w:cols w:num="2" w:space="42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584FF7" w14:textId="77777777" w:rsidR="00863EF5" w:rsidRDefault="00863EF5">
      <w:r>
        <w:separator/>
      </w:r>
    </w:p>
  </w:endnote>
  <w:endnote w:type="continuationSeparator" w:id="0">
    <w:p w14:paraId="55B55369" w14:textId="77777777" w:rsidR="00863EF5" w:rsidRDefault="00863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Book Antiqua">
    <w:panose1 w:val="020406020503050303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Black">
    <w:panose1 w:val="020B0A04020102020204"/>
    <w:charset w:val="00"/>
    <w:family w:val="auto"/>
    <w:pitch w:val="variable"/>
    <w:sig w:usb0="03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2A969" w14:textId="77777777" w:rsidR="00863EF5" w:rsidRDefault="00863EF5">
    <w:pPr>
      <w:pStyle w:val="Heading2A"/>
      <w:rPr>
        <w:rFonts w:ascii="Times New Roman" w:eastAsia="Times New Roman" w:hAnsi="Times New Roman"/>
        <w:b w:val="0"/>
        <w:i w:val="0"/>
        <w:color w:val="auto"/>
        <w:sz w:val="20"/>
      </w:rPr>
    </w:pPr>
    <w:r>
      <w:rPr>
        <w:rFonts w:ascii="Garamond" w:hAnsi="Garamond"/>
        <w:b w:val="0"/>
        <w:sz w:val="20"/>
      </w:rPr>
      <w:t>ELPA 940</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0904" w14:textId="77777777" w:rsidR="00863EF5" w:rsidRDefault="00863EF5">
    <w:pPr>
      <w:pStyle w:val="Heading2A"/>
      <w:rPr>
        <w:rFonts w:ascii="Times New Roman" w:eastAsia="Times New Roman" w:hAnsi="Times New Roman"/>
        <w:b w:val="0"/>
        <w:i w:val="0"/>
        <w:color w:val="auto"/>
        <w:sz w:val="20"/>
      </w:rPr>
    </w:pPr>
    <w:r>
      <w:rPr>
        <w:rFonts w:ascii="Garamond" w:hAnsi="Garamond"/>
        <w:b w:val="0"/>
        <w:sz w:val="20"/>
      </w:rPr>
      <w:t>ELPA 940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02AC27" w14:textId="77777777" w:rsidR="00863EF5" w:rsidRDefault="00863EF5">
    <w:r>
      <w:cr/>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9869E7" w14:textId="77777777" w:rsidR="00863EF5" w:rsidRDefault="00863EF5">
      <w:r>
        <w:separator/>
      </w:r>
    </w:p>
  </w:footnote>
  <w:footnote w:type="continuationSeparator" w:id="0">
    <w:p w14:paraId="54144042" w14:textId="77777777" w:rsidR="00863EF5" w:rsidRDefault="00863E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749FED" w14:textId="77777777" w:rsidR="00863EF5" w:rsidRDefault="00863EF5">
    <w:pPr>
      <w:spacing w:line="2" w:lineRule="auto"/>
      <w:rPr>
        <w:rFonts w:ascii="Garamond" w:hAnsi="Garamond"/>
        <w:i/>
        <w:sz w:val="28"/>
      </w:rPr>
    </w:pPr>
    <w:r>
      <w:rPr>
        <w:rFonts w:ascii="Garamond" w:hAnsi="Garamond"/>
        <w:i/>
        <w:sz w:val="34"/>
      </w:rPr>
      <w:t>Inquiry in Educational Leadership and Policy Analysis</w:t>
    </w:r>
  </w:p>
  <w:p w14:paraId="1A281DA4" w14:textId="77777777" w:rsidR="00863EF5" w:rsidRDefault="00863EF5">
    <w:pPr>
      <w:rPr>
        <w:rFonts w:ascii="Garamond" w:hAnsi="Garamond"/>
        <w:sz w:val="20"/>
      </w:rPr>
    </w:pPr>
  </w:p>
  <w:p w14:paraId="1005EE8E" w14:textId="77777777" w:rsidR="00863EF5" w:rsidRDefault="00863EF5">
    <w:pPr>
      <w:rPr>
        <w:rFonts w:ascii="Garamond" w:hAnsi="Garamond"/>
        <w:sz w:val="20"/>
      </w:rPr>
    </w:pPr>
  </w:p>
  <w:p w14:paraId="4E9D661F" w14:textId="77777777" w:rsidR="00863EF5" w:rsidRDefault="00863EF5">
    <w:pPr>
      <w:rPr>
        <w:rFonts w:ascii="Garamond" w:hAnsi="Garamond"/>
        <w:sz w:val="20"/>
      </w:rPr>
    </w:pPr>
  </w:p>
  <w:p w14:paraId="0763975F" w14:textId="77777777" w:rsidR="00863EF5" w:rsidRDefault="00863EF5">
    <w:pPr>
      <w:rPr>
        <w:rFonts w:ascii="Garamond" w:hAnsi="Garamond"/>
        <w:sz w:val="20"/>
      </w:rPr>
    </w:pPr>
  </w:p>
  <w:p w14:paraId="12B2BE67" w14:textId="77777777" w:rsidR="00863EF5" w:rsidRDefault="00863EF5">
    <w:pPr>
      <w:rPr>
        <w:rFonts w:ascii="Garamond" w:hAnsi="Garamond"/>
        <w:sz w:val="20"/>
      </w:rPr>
    </w:pPr>
  </w:p>
  <w:p w14:paraId="6E3F334E" w14:textId="77777777" w:rsidR="00863EF5" w:rsidRDefault="00863EF5">
    <w:pPr>
      <w:rPr>
        <w:rFonts w:eastAsia="Times New Roman"/>
        <w:color w:val="auto"/>
        <w:sz w:val="20"/>
      </w:rPr>
    </w:pPr>
    <w:r>
      <w:rPr>
        <w:noProof/>
      </w:rPr>
      <mc:AlternateContent>
        <mc:Choice Requires="wps">
          <w:drawing>
            <wp:anchor distT="0" distB="0" distL="114300" distR="114300" simplePos="0" relativeHeight="251658240" behindDoc="1" locked="0" layoutInCell="1" allowOverlap="1" wp14:anchorId="23C83B77" wp14:editId="539E1467">
              <wp:simplePos x="0" y="0"/>
              <wp:positionH relativeFrom="page">
                <wp:posOffset>7023100</wp:posOffset>
              </wp:positionH>
              <wp:positionV relativeFrom="page">
                <wp:posOffset>9436735</wp:posOffset>
              </wp:positionV>
              <wp:extent cx="88900" cy="177800"/>
              <wp:effectExtent l="0" t="635"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0E7E6C2C" w14:textId="77777777" w:rsidR="00863EF5" w:rsidRDefault="00863EF5">
                          <w:pPr>
                            <w:pStyle w:val="Footer"/>
                            <w:rPr>
                              <w:rFonts w:eastAsia="Times New Roman"/>
                              <w:color w:val="auto"/>
                              <w:sz w:val="20"/>
                            </w:rPr>
                          </w:pPr>
                          <w:r>
                            <w:rPr>
                              <w:sz w:val="16"/>
                            </w:rPr>
                            <w:fldChar w:fldCharType="begin"/>
                          </w:r>
                          <w:r>
                            <w:rPr>
                              <w:sz w:val="16"/>
                            </w:rPr>
                            <w:instrText xml:space="preserve"> PAGE </w:instrText>
                          </w:r>
                          <w:r>
                            <w:rPr>
                              <w:sz w:val="16"/>
                            </w:rPr>
                            <w:fldChar w:fldCharType="separate"/>
                          </w:r>
                          <w:r w:rsidR="00FA2F7E">
                            <w:rPr>
                              <w:noProof/>
                              <w:sz w:val="16"/>
                            </w:rPr>
                            <w:t>2</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margin-left:553pt;margin-top:743.05pt;width:7pt;height:1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" stroked="f" strokeweight="1pt">
              <v:path arrowok="t"/>
              <v:textbox inset="0,0,0,0">
                <w:txbxContent>
                  <w:p w14:paraId="0E7E6C2C" w14:textId="77777777" w:rsidR="00863EF5" w:rsidRDefault="00863EF5">
                    <w:pPr>
                      <w:pStyle w:val="Footer"/>
                      <w:rPr>
                        <w:rFonts w:eastAsia="Times New Roman"/>
                        <w:color w:val="auto"/>
                        <w:sz w:val="20"/>
                      </w:rPr>
                    </w:pPr>
                    <w:r>
                      <w:rPr>
                        <w:sz w:val="16"/>
                      </w:rPr>
                      <w:fldChar w:fldCharType="begin"/>
                    </w:r>
                    <w:r>
                      <w:rPr>
                        <w:sz w:val="16"/>
                      </w:rPr>
                      <w:instrText xml:space="preserve"> PAGE </w:instrText>
                    </w:r>
                    <w:r>
                      <w:rPr>
                        <w:sz w:val="16"/>
                      </w:rPr>
                      <w:fldChar w:fldCharType="separate"/>
                    </w:r>
                    <w:r w:rsidR="00FA2F7E">
                      <w:rPr>
                        <w:noProof/>
                        <w:sz w:val="16"/>
                      </w:rPr>
                      <w:t>2</w:t>
                    </w:r>
                    <w:r>
                      <w:rPr>
                        <w:sz w:val="16"/>
                      </w:rPr>
                      <w:fldChar w:fldCharType="end"/>
                    </w:r>
                  </w:p>
                </w:txbxContent>
              </v:textbox>
              <w10:wrap anchorx="page" anchory="page"/>
            </v:rect>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B3388D" w14:textId="77777777" w:rsidR="00863EF5" w:rsidRDefault="00863EF5">
    <w:pPr>
      <w:spacing w:line="2" w:lineRule="auto"/>
      <w:rPr>
        <w:rFonts w:ascii="Garamond" w:hAnsi="Garamond"/>
        <w:i/>
        <w:sz w:val="28"/>
      </w:rPr>
    </w:pPr>
    <w:r>
      <w:rPr>
        <w:rFonts w:ascii="Garamond" w:hAnsi="Garamond"/>
        <w:i/>
        <w:sz w:val="34"/>
      </w:rPr>
      <w:t>Inquiry in Educational Leadership and Policy Analysis</w:t>
    </w:r>
  </w:p>
  <w:p w14:paraId="108D5C22" w14:textId="77777777" w:rsidR="00863EF5" w:rsidRDefault="00863EF5">
    <w:pPr>
      <w:rPr>
        <w:rFonts w:ascii="Garamond" w:hAnsi="Garamond"/>
        <w:sz w:val="20"/>
      </w:rPr>
    </w:pPr>
  </w:p>
  <w:p w14:paraId="1A142ED7" w14:textId="77777777" w:rsidR="00863EF5" w:rsidRDefault="00863EF5">
    <w:pPr>
      <w:rPr>
        <w:rFonts w:ascii="Garamond" w:hAnsi="Garamond"/>
        <w:sz w:val="20"/>
      </w:rPr>
    </w:pPr>
  </w:p>
  <w:p w14:paraId="1355A136" w14:textId="77777777" w:rsidR="00863EF5" w:rsidRDefault="00863EF5">
    <w:pPr>
      <w:rPr>
        <w:rFonts w:ascii="Garamond" w:hAnsi="Garamond"/>
        <w:sz w:val="20"/>
      </w:rPr>
    </w:pPr>
  </w:p>
  <w:p w14:paraId="57164372" w14:textId="77777777" w:rsidR="00863EF5" w:rsidRDefault="00863EF5">
    <w:pPr>
      <w:rPr>
        <w:rFonts w:ascii="Garamond" w:hAnsi="Garamond"/>
        <w:sz w:val="20"/>
      </w:rPr>
    </w:pPr>
  </w:p>
  <w:p w14:paraId="0C265A6A" w14:textId="77777777" w:rsidR="00863EF5" w:rsidRDefault="00863EF5">
    <w:pPr>
      <w:rPr>
        <w:rFonts w:ascii="Garamond" w:hAnsi="Garamond"/>
        <w:sz w:val="20"/>
      </w:rPr>
    </w:pPr>
  </w:p>
  <w:p w14:paraId="36673A7F" w14:textId="77777777" w:rsidR="00863EF5" w:rsidRDefault="00863EF5">
    <w:pPr>
      <w:rPr>
        <w:rFonts w:eastAsia="Times New Roman"/>
        <w:color w:val="auto"/>
        <w:sz w:val="20"/>
      </w:rPr>
    </w:pPr>
    <w:r>
      <w:rPr>
        <w:noProof/>
      </w:rPr>
      <mc:AlternateContent>
        <mc:Choice Requires="wps">
          <w:drawing>
            <wp:anchor distT="0" distB="0" distL="114300" distR="114300" simplePos="0" relativeHeight="251657216" behindDoc="1" locked="0" layoutInCell="1" allowOverlap="1" wp14:anchorId="72819AE4" wp14:editId="7120171C">
              <wp:simplePos x="0" y="0"/>
              <wp:positionH relativeFrom="page">
                <wp:posOffset>7023100</wp:posOffset>
              </wp:positionH>
              <wp:positionV relativeFrom="page">
                <wp:posOffset>9436735</wp:posOffset>
              </wp:positionV>
              <wp:extent cx="88900" cy="177800"/>
              <wp:effectExtent l="0" t="635"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8900" cy="177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18AAA255" w14:textId="77777777" w:rsidR="00863EF5" w:rsidRDefault="00863EF5">
                          <w:pPr>
                            <w:pStyle w:val="Footer"/>
                            <w:rPr>
                              <w:rFonts w:eastAsia="Times New Roman"/>
                              <w:color w:val="auto"/>
                              <w:sz w:val="20"/>
                            </w:rPr>
                          </w:pPr>
                          <w:r>
                            <w:rPr>
                              <w:sz w:val="16"/>
                            </w:rPr>
                            <w:fldChar w:fldCharType="begin"/>
                          </w:r>
                          <w:r>
                            <w:rPr>
                              <w:sz w:val="16"/>
                            </w:rPr>
                            <w:instrText xml:space="preserve"> PAGE </w:instrText>
                          </w:r>
                          <w:r>
                            <w:rPr>
                              <w:sz w:val="16"/>
                            </w:rPr>
                            <w:fldChar w:fldCharType="separate"/>
                          </w:r>
                          <w:r w:rsidR="00FA2F7E">
                            <w:rPr>
                              <w:noProof/>
                              <w:sz w:val="16"/>
                            </w:rPr>
                            <w:t>3</w:t>
                          </w:r>
                          <w:r>
                            <w:rPr>
                              <w:sz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8" style="position:absolute;margin-left:553pt;margin-top:743.05pt;width:7pt;height:1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" stroked="f" strokeweight="1pt">
              <v:path arrowok="t"/>
              <v:textbox inset="0,0,0,0">
                <w:txbxContent>
                  <w:p w14:paraId="18AAA255" w14:textId="77777777" w:rsidR="00863EF5" w:rsidRDefault="00863EF5">
                    <w:pPr>
                      <w:pStyle w:val="Footer"/>
                      <w:rPr>
                        <w:rFonts w:eastAsia="Times New Roman"/>
                        <w:color w:val="auto"/>
                        <w:sz w:val="20"/>
                      </w:rPr>
                    </w:pPr>
                    <w:r>
                      <w:rPr>
                        <w:sz w:val="16"/>
                      </w:rPr>
                      <w:fldChar w:fldCharType="begin"/>
                    </w:r>
                    <w:r>
                      <w:rPr>
                        <w:sz w:val="16"/>
                      </w:rPr>
                      <w:instrText xml:space="preserve"> PAGE </w:instrText>
                    </w:r>
                    <w:r>
                      <w:rPr>
                        <w:sz w:val="16"/>
                      </w:rPr>
                      <w:fldChar w:fldCharType="separate"/>
                    </w:r>
                    <w:r w:rsidR="00FA2F7E">
                      <w:rPr>
                        <w:noProof/>
                        <w:sz w:val="16"/>
                      </w:rPr>
                      <w:t>3</w:t>
                    </w:r>
                    <w:r>
                      <w:rPr>
                        <w:sz w:val="16"/>
                      </w:rPr>
                      <w:fldChar w:fldCharType="end"/>
                    </w:r>
                  </w:p>
                </w:txbxContent>
              </v:textbox>
              <w10:wrap anchorx="page" anchory="page"/>
            </v:rect>
          </w:pict>
        </mc:Fallback>
      </mc:AlternateConten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B40E" w14:textId="77777777" w:rsidR="00863EF5" w:rsidRDefault="00863EF5">
    <w:pPr>
      <w:pStyle w:val="Heading2A"/>
      <w:rPr>
        <w:rFonts w:ascii="Garamond" w:hAnsi="Garamond"/>
        <w:b w:val="0"/>
        <w:sz w:val="34"/>
      </w:rPr>
    </w:pPr>
    <w:r>
      <w:rPr>
        <w:rFonts w:ascii="Garamond" w:hAnsi="Garamond"/>
        <w:b w:val="0"/>
        <w:sz w:val="34"/>
      </w:rPr>
      <w:t>Inquiry in Educational Leadership and Policy Analysis</w:t>
    </w:r>
  </w:p>
  <w:p w14:paraId="429A42EB" w14:textId="77777777" w:rsidR="00863EF5" w:rsidRDefault="00863EF5">
    <w:pPr>
      <w:rPr>
        <w:rFonts w:ascii="Garamond" w:hAnsi="Garamond"/>
        <w:sz w:val="20"/>
      </w:rPr>
    </w:pPr>
    <w:r>
      <w:rPr>
        <w:rFonts w:ascii="Garamond" w:hAnsi="Garamond"/>
        <w:sz w:val="20"/>
      </w:rPr>
      <w:t>Educational Leadership and Policy Analysis</w:t>
    </w:r>
  </w:p>
  <w:p w14:paraId="3306164D" w14:textId="77777777" w:rsidR="00863EF5" w:rsidRDefault="00863EF5">
    <w:pPr>
      <w:rPr>
        <w:rFonts w:ascii="Garamond" w:hAnsi="Garamond"/>
        <w:sz w:val="20"/>
      </w:rPr>
    </w:pPr>
    <w:r>
      <w:rPr>
        <w:rFonts w:ascii="Garamond" w:hAnsi="Garamond"/>
        <w:sz w:val="20"/>
      </w:rPr>
      <w:t>Richard Halverson (</w:t>
    </w:r>
    <w:hyperlink r:id="rId1" w:history="1">
      <w:r>
        <w:rPr>
          <w:rFonts w:ascii="Garamond" w:hAnsi="Garamond"/>
          <w:sz w:val="20"/>
        </w:rPr>
        <w:t>halverson@education.wisc.edu</w:t>
      </w:r>
    </w:hyperlink>
    <w:r>
      <w:rPr>
        <w:rFonts w:ascii="Garamond" w:hAnsi="Garamond"/>
        <w:sz w:val="20"/>
      </w:rPr>
      <w:t>, 608.265.4772)</w:t>
    </w:r>
  </w:p>
  <w:p w14:paraId="0B925527" w14:textId="77777777" w:rsidR="00863EF5" w:rsidRPr="00FF037B" w:rsidRDefault="00863EF5">
    <w:pPr>
      <w:rPr>
        <w:rFonts w:ascii="Garamond" w:hAnsi="Garamond"/>
        <w:sz w:val="20"/>
      </w:rPr>
    </w:pPr>
    <w:r>
      <w:rPr>
        <w:rFonts w:ascii="Garamond" w:hAnsi="Garamond"/>
        <w:sz w:val="20"/>
      </w:rPr>
      <w:t xml:space="preserve">Elton </w:t>
    </w:r>
    <w:proofErr w:type="spellStart"/>
    <w:r>
      <w:rPr>
        <w:rFonts w:ascii="Garamond" w:hAnsi="Garamond"/>
        <w:sz w:val="20"/>
      </w:rPr>
      <w:t>Crim</w:t>
    </w:r>
    <w:proofErr w:type="spellEnd"/>
    <w:r>
      <w:rPr>
        <w:rFonts w:ascii="Garamond" w:hAnsi="Garamond"/>
        <w:sz w:val="20"/>
      </w:rPr>
      <w:t xml:space="preserve"> (</w:t>
    </w:r>
    <w:r>
      <w:rPr>
        <w:rFonts w:ascii="Garamond" w:hAnsi="Garamond"/>
        <w:sz w:val="20"/>
      </w:rPr>
      <w:t>e</w:t>
    </w:r>
    <w:hyperlink r:id="rId2" w:history="1">
      <w:r w:rsidRPr="00FF037B">
        <w:rPr>
          <w:rStyle w:val="Hyperlink"/>
          <w:rFonts w:ascii="Garamond" w:hAnsi="Garamond"/>
          <w:color w:val="000000" w:themeColor="text1"/>
          <w:sz w:val="20"/>
          <w:u w:val="none"/>
        </w:rPr>
        <w:t>crim@education.wisc.edu</w:t>
      </w:r>
    </w:hyperlink>
    <w:r>
      <w:rPr>
        <w:rFonts w:ascii="Garamond" w:hAnsi="Garamond"/>
        <w:sz w:val="20"/>
      </w:rPr>
      <w:t>, 608.263.3411)</w:t>
    </w:r>
  </w:p>
  <w:p w14:paraId="07D97018" w14:textId="77777777" w:rsidR="00863EF5" w:rsidRDefault="00863EF5">
    <w:pPr>
      <w:rPr>
        <w:rFonts w:ascii="Garamond" w:hAnsi="Garamond"/>
        <w:sz w:val="20"/>
      </w:rPr>
    </w:pPr>
    <w:hyperlink r:id="rId3" w:history="1">
      <w:r>
        <w:rPr>
          <w:rFonts w:ascii="Garamond" w:hAnsi="Garamond"/>
          <w:sz w:val="20"/>
        </w:rPr>
        <w:t>https://learnuw.wisc.edu</w:t>
      </w:r>
    </w:hyperlink>
  </w:p>
  <w:p w14:paraId="3BAE01AA" w14:textId="77777777" w:rsidR="00863EF5" w:rsidRDefault="00863EF5">
    <w:pPr>
      <w:rPr>
        <w:rFonts w:ascii="Garamond" w:hAnsi="Garamond"/>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89A3401"/>
    <w:multiLevelType w:val="hybridMultilevel"/>
    <w:tmpl w:val="79BEF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675D1716"/>
    <w:multiLevelType w:val="hybridMultilevel"/>
    <w:tmpl w:val="D8E8D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CF7206"/>
    <w:multiLevelType w:val="hybridMultilevel"/>
    <w:tmpl w:val="46EC6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stylePaneFormatFilter w:val="2001" w:allStyles="1" w:customStyles="0" w:latentStyles="0" w:stylesInUse="0" w:headingStyles="0" w:numberingStyles="0" w:tableStyles="0" w:directFormattingOnRuns="0" w:directFormattingOnParagraphs="0" w:directFormattingOnNumbering="0" w:directFormattingOnTables="0" w:clearFormatting="0" w:top3HeadingStyles="1" w:visibleStyles="0" w:alternateStyleNames="0"/>
  <w:defaultTabStop w:val="720"/>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doNotValidateAgainstSchema/>
  <w:doNotDemarcateInvalidXml/>
  <w:hdrShapeDefaults>
    <o:shapedefaults v:ext="edit" spidmax="205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849"/>
    <w:rsid w:val="00073302"/>
    <w:rsid w:val="001C6D97"/>
    <w:rsid w:val="001E082B"/>
    <w:rsid w:val="001E5FAB"/>
    <w:rsid w:val="00211DC0"/>
    <w:rsid w:val="00380033"/>
    <w:rsid w:val="004045BA"/>
    <w:rsid w:val="004652C7"/>
    <w:rsid w:val="004B695B"/>
    <w:rsid w:val="004D272D"/>
    <w:rsid w:val="005B5107"/>
    <w:rsid w:val="006219F7"/>
    <w:rsid w:val="00632A45"/>
    <w:rsid w:val="00636849"/>
    <w:rsid w:val="006A53BD"/>
    <w:rsid w:val="006B3A26"/>
    <w:rsid w:val="006B3B44"/>
    <w:rsid w:val="007D312B"/>
    <w:rsid w:val="00863EF5"/>
    <w:rsid w:val="0090488D"/>
    <w:rsid w:val="0098166F"/>
    <w:rsid w:val="009A4EAD"/>
    <w:rsid w:val="00A9682D"/>
    <w:rsid w:val="00AF46C0"/>
    <w:rsid w:val="00C86FAD"/>
    <w:rsid w:val="00C92B08"/>
    <w:rsid w:val="00D50D27"/>
    <w:rsid w:val="00DD5F57"/>
    <w:rsid w:val="00F20263"/>
    <w:rsid w:val="00FA2F7E"/>
    <w:rsid w:val="00FF037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oNotEmbedSmartTags/>
  <w:decimalSymbol w:val="."/>
  <w:listSeparator w:val=","/>
  <w14:docId w14:val="3EF5D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0AB9"/>
    <w:rPr>
      <w:rFonts w:eastAsia="ヒラギノ角ゴ Pro W3"/>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 A"/>
    <w:next w:val="Normal"/>
    <w:rsid w:val="00850AB9"/>
    <w:pPr>
      <w:keepNext/>
      <w:spacing w:before="240" w:after="60"/>
      <w:outlineLvl w:val="1"/>
    </w:pPr>
    <w:rPr>
      <w:rFonts w:ascii="Arial" w:eastAsia="ヒラギノ角ゴ Pro W3" w:hAnsi="Arial"/>
      <w:b/>
      <w:i/>
      <w:color w:val="000000"/>
      <w:sz w:val="28"/>
    </w:rPr>
  </w:style>
  <w:style w:type="paragraph" w:customStyle="1" w:styleId="FreeForm">
    <w:name w:val="Free Form"/>
    <w:rsid w:val="00850AB9"/>
    <w:rPr>
      <w:rFonts w:eastAsia="ヒラギノ角ゴ Pro W3"/>
      <w:color w:val="000000"/>
    </w:rPr>
  </w:style>
  <w:style w:type="paragraph" w:styleId="BodyText">
    <w:name w:val="Body Text"/>
    <w:rsid w:val="00850AB9"/>
    <w:pPr>
      <w:jc w:val="center"/>
    </w:pPr>
    <w:rPr>
      <w:rFonts w:ascii="Book Antiqua" w:eastAsia="ヒラギノ角ゴ Pro W3" w:hAnsi="Book Antiqua"/>
      <w:color w:val="000000"/>
    </w:rPr>
  </w:style>
  <w:style w:type="numbering" w:customStyle="1" w:styleId="Bullet">
    <w:name w:val="Bullet"/>
    <w:rsid w:val="00850AB9"/>
  </w:style>
  <w:style w:type="paragraph" w:customStyle="1" w:styleId="Heading3A">
    <w:name w:val="Heading 3 A"/>
    <w:next w:val="Normal"/>
    <w:rsid w:val="00850AB9"/>
    <w:pPr>
      <w:keepNext/>
      <w:spacing w:before="240" w:after="60"/>
      <w:outlineLvl w:val="2"/>
    </w:pPr>
    <w:rPr>
      <w:rFonts w:ascii="Arial" w:eastAsia="ヒラギノ角ゴ Pro W3" w:hAnsi="Arial"/>
      <w:b/>
      <w:color w:val="000000"/>
      <w:sz w:val="26"/>
    </w:rPr>
  </w:style>
  <w:style w:type="paragraph" w:styleId="BodyTextIndent">
    <w:name w:val="Body Text Indent"/>
    <w:rsid w:val="00850AB9"/>
    <w:pPr>
      <w:tabs>
        <w:tab w:val="right" w:leader="dot" w:pos="8640"/>
      </w:tabs>
      <w:ind w:left="720"/>
    </w:pPr>
    <w:rPr>
      <w:rFonts w:eastAsia="ヒラギノ角ゴ Pro W3"/>
      <w:color w:val="000000"/>
    </w:rPr>
  </w:style>
  <w:style w:type="paragraph" w:customStyle="1" w:styleId="TableNormalParagraph">
    <w:name w:val="Table Normal Paragraph"/>
    <w:rsid w:val="00850AB9"/>
    <w:rPr>
      <w:rFonts w:eastAsia="ヒラギノ角ゴ Pro W3"/>
      <w:color w:val="000000"/>
    </w:rPr>
  </w:style>
  <w:style w:type="paragraph" w:styleId="Header">
    <w:name w:val="header"/>
    <w:rsid w:val="00850AB9"/>
    <w:pPr>
      <w:tabs>
        <w:tab w:val="center" w:pos="4320"/>
        <w:tab w:val="right" w:pos="8640"/>
      </w:tabs>
    </w:pPr>
    <w:rPr>
      <w:rFonts w:eastAsia="ヒラギノ角ゴ Pro W3"/>
      <w:color w:val="000000"/>
    </w:rPr>
  </w:style>
  <w:style w:type="paragraph" w:styleId="Footer">
    <w:name w:val="footer"/>
    <w:rsid w:val="00850AB9"/>
    <w:pPr>
      <w:tabs>
        <w:tab w:val="center" w:pos="4320"/>
        <w:tab w:val="right" w:pos="8640"/>
      </w:tabs>
    </w:pPr>
    <w:rPr>
      <w:rFonts w:eastAsia="ヒラギノ角ゴ Pro W3"/>
      <w:color w:val="000000"/>
    </w:rPr>
  </w:style>
  <w:style w:type="character" w:styleId="Hyperlink">
    <w:name w:val="Hyperlink"/>
    <w:basedOn w:val="DefaultParagraphFont"/>
    <w:rsid w:val="00F96445"/>
    <w:rPr>
      <w:color w:val="0000FF" w:themeColor="hyperlink"/>
      <w:u w:val="single"/>
    </w:rPr>
  </w:style>
  <w:style w:type="character" w:styleId="FollowedHyperlink">
    <w:name w:val="FollowedHyperlink"/>
    <w:basedOn w:val="DefaultParagraphFont"/>
    <w:rsid w:val="004045BA"/>
    <w:rPr>
      <w:color w:val="800080" w:themeColor="followedHyperlink"/>
      <w:u w:val="single"/>
    </w:rPr>
  </w:style>
  <w:style w:type="paragraph" w:styleId="ListParagraph">
    <w:name w:val="List Paragraph"/>
    <w:basedOn w:val="Normal"/>
    <w:rsid w:val="006219F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850AB9"/>
    <w:rPr>
      <w:rFonts w:eastAsia="ヒラギノ角ゴ Pro W3"/>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A">
    <w:name w:val="Heading 2 A"/>
    <w:next w:val="Normal"/>
    <w:rsid w:val="00850AB9"/>
    <w:pPr>
      <w:keepNext/>
      <w:spacing w:before="240" w:after="60"/>
      <w:outlineLvl w:val="1"/>
    </w:pPr>
    <w:rPr>
      <w:rFonts w:ascii="Arial" w:eastAsia="ヒラギノ角ゴ Pro W3" w:hAnsi="Arial"/>
      <w:b/>
      <w:i/>
      <w:color w:val="000000"/>
      <w:sz w:val="28"/>
    </w:rPr>
  </w:style>
  <w:style w:type="paragraph" w:customStyle="1" w:styleId="FreeForm">
    <w:name w:val="Free Form"/>
    <w:rsid w:val="00850AB9"/>
    <w:rPr>
      <w:rFonts w:eastAsia="ヒラギノ角ゴ Pro W3"/>
      <w:color w:val="000000"/>
    </w:rPr>
  </w:style>
  <w:style w:type="paragraph" w:styleId="BodyText">
    <w:name w:val="Body Text"/>
    <w:rsid w:val="00850AB9"/>
    <w:pPr>
      <w:jc w:val="center"/>
    </w:pPr>
    <w:rPr>
      <w:rFonts w:ascii="Book Antiqua" w:eastAsia="ヒラギノ角ゴ Pro W3" w:hAnsi="Book Antiqua"/>
      <w:color w:val="000000"/>
    </w:rPr>
  </w:style>
  <w:style w:type="numbering" w:customStyle="1" w:styleId="Bullet">
    <w:name w:val="Bullet"/>
    <w:rsid w:val="00850AB9"/>
  </w:style>
  <w:style w:type="paragraph" w:customStyle="1" w:styleId="Heading3A">
    <w:name w:val="Heading 3 A"/>
    <w:next w:val="Normal"/>
    <w:rsid w:val="00850AB9"/>
    <w:pPr>
      <w:keepNext/>
      <w:spacing w:before="240" w:after="60"/>
      <w:outlineLvl w:val="2"/>
    </w:pPr>
    <w:rPr>
      <w:rFonts w:ascii="Arial" w:eastAsia="ヒラギノ角ゴ Pro W3" w:hAnsi="Arial"/>
      <w:b/>
      <w:color w:val="000000"/>
      <w:sz w:val="26"/>
    </w:rPr>
  </w:style>
  <w:style w:type="paragraph" w:styleId="BodyTextIndent">
    <w:name w:val="Body Text Indent"/>
    <w:rsid w:val="00850AB9"/>
    <w:pPr>
      <w:tabs>
        <w:tab w:val="right" w:leader="dot" w:pos="8640"/>
      </w:tabs>
      <w:ind w:left="720"/>
    </w:pPr>
    <w:rPr>
      <w:rFonts w:eastAsia="ヒラギノ角ゴ Pro W3"/>
      <w:color w:val="000000"/>
    </w:rPr>
  </w:style>
  <w:style w:type="paragraph" w:customStyle="1" w:styleId="TableNormalParagraph">
    <w:name w:val="Table Normal Paragraph"/>
    <w:rsid w:val="00850AB9"/>
    <w:rPr>
      <w:rFonts w:eastAsia="ヒラギノ角ゴ Pro W3"/>
      <w:color w:val="000000"/>
    </w:rPr>
  </w:style>
  <w:style w:type="paragraph" w:styleId="Header">
    <w:name w:val="header"/>
    <w:rsid w:val="00850AB9"/>
    <w:pPr>
      <w:tabs>
        <w:tab w:val="center" w:pos="4320"/>
        <w:tab w:val="right" w:pos="8640"/>
      </w:tabs>
    </w:pPr>
    <w:rPr>
      <w:rFonts w:eastAsia="ヒラギノ角ゴ Pro W3"/>
      <w:color w:val="000000"/>
    </w:rPr>
  </w:style>
  <w:style w:type="paragraph" w:styleId="Footer">
    <w:name w:val="footer"/>
    <w:rsid w:val="00850AB9"/>
    <w:pPr>
      <w:tabs>
        <w:tab w:val="center" w:pos="4320"/>
        <w:tab w:val="right" w:pos="8640"/>
      </w:tabs>
    </w:pPr>
    <w:rPr>
      <w:rFonts w:eastAsia="ヒラギノ角ゴ Pro W3"/>
      <w:color w:val="000000"/>
    </w:rPr>
  </w:style>
  <w:style w:type="character" w:styleId="Hyperlink">
    <w:name w:val="Hyperlink"/>
    <w:basedOn w:val="DefaultParagraphFont"/>
    <w:rsid w:val="00F96445"/>
    <w:rPr>
      <w:color w:val="0000FF" w:themeColor="hyperlink"/>
      <w:u w:val="single"/>
    </w:rPr>
  </w:style>
  <w:style w:type="character" w:styleId="FollowedHyperlink">
    <w:name w:val="FollowedHyperlink"/>
    <w:basedOn w:val="DefaultParagraphFont"/>
    <w:rsid w:val="004045BA"/>
    <w:rPr>
      <w:color w:val="800080" w:themeColor="followedHyperlink"/>
      <w:u w:val="single"/>
    </w:rPr>
  </w:style>
  <w:style w:type="paragraph" w:styleId="ListParagraph">
    <w:name w:val="List Paragraph"/>
    <w:basedOn w:val="Normal"/>
    <w:rsid w:val="00621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mazon.com/Experience-Education-John-Dewey/dp/0684838281/ref=sr_1_1?ie=UTF8&amp;qid=1314035581&amp;sr=8-1" TargetMode="External"/><Relationship Id="rId20" Type="http://schemas.openxmlformats.org/officeDocument/2006/relationships/hyperlink" Target="http://www.amazon.com/Organizing-Schools-Improvement-Lessons-Chicago/dp/0226078000/ref=sr_1_1?s=books&amp;ie=UTF8&amp;qid=1314042328&amp;sr=1-1" TargetMode="External"/><Relationship Id="rId21" Type="http://schemas.openxmlformats.org/officeDocument/2006/relationships/hyperlink" Target="http://www.amazon.com/Quest-Learn-Developing-Catherine-Foundation/dp/0262515652" TargetMode="External"/><Relationship Id="rId22" Type="http://schemas.openxmlformats.org/officeDocument/2006/relationships/hyperlink" Target="http://dl.dropbox.com/u/7024485/Papers/110221%20Halverson%20%26%20Halverson.pdf" TargetMode="External"/><Relationship Id="rId23" Type="http://schemas.openxmlformats.org/officeDocument/2006/relationships/header" Target="header1.xml"/><Relationship Id="rId24" Type="http://schemas.openxmlformats.org/officeDocument/2006/relationships/header" Target="header2.xml"/><Relationship Id="rId25" Type="http://schemas.openxmlformats.org/officeDocument/2006/relationships/footer" Target="footer1.xml"/><Relationship Id="rId26" Type="http://schemas.openxmlformats.org/officeDocument/2006/relationships/footer" Target="footer2.xml"/><Relationship Id="rId27" Type="http://schemas.openxmlformats.org/officeDocument/2006/relationships/header" Target="header3.xml"/><Relationship Id="rId28" Type="http://schemas.openxmlformats.org/officeDocument/2006/relationships/footer" Target="footer3.xm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playpen.meraka.csir.co.za/~acdc/education/Dr_Anvind_Gupa/Learners_Library_7_March_2007/Resources/books/dewey2.pdf" TargetMode="External"/><Relationship Id="rId11" Type="http://schemas.openxmlformats.org/officeDocument/2006/relationships/hyperlink" Target="http://www.amazon.com/Ignorant-Schoolmaster-Lessons-Intellectual-Emancipation/dp/0804719691/ref=sr_1_1?ie=UTF8&amp;qid=1314035478&amp;sr=8-1" TargetMode="External"/><Relationship Id="rId12" Type="http://schemas.openxmlformats.org/officeDocument/2006/relationships/hyperlink" Target="http://dl.dropbox.com/u/7024485/02%20Cohen%20copy.pdf" TargetMode="External"/><Relationship Id="rId13" Type="http://schemas.openxmlformats.org/officeDocument/2006/relationships/hyperlink" Target="http://dl.dropbox.com/u/7024485/Elmore%201%20copy.pdf" TargetMode="External"/><Relationship Id="rId14" Type="http://schemas.openxmlformats.org/officeDocument/2006/relationships/hyperlink" Target="http://www.amazon.com/Tested-American-School-Struggles-Grade/dp/0805088024/ref=tmm_pap_title_0" TargetMode="External"/><Relationship Id="rId15" Type="http://schemas.openxmlformats.org/officeDocument/2006/relationships/hyperlink" Target="http://www.amazon.com/Linking-Teacher-Evaluation-Student-Learning/dp/1416600329" TargetMode="External"/><Relationship Id="rId16" Type="http://schemas.openxmlformats.org/officeDocument/2006/relationships/hyperlink" Target="http://dl.dropbox.com/u/7024485/HalversonCliffordEAQ%202006%20copy.pdf" TargetMode="External"/><Relationship Id="rId17" Type="http://schemas.openxmlformats.org/officeDocument/2006/relationships/hyperlink" Target="http://ies.ed.gov/ncee/wwc/pdf/practiceguides/rti_math_pg_042109.pdf" TargetMode="External"/><Relationship Id="rId18" Type="http://schemas.openxmlformats.org/officeDocument/2006/relationships/hyperlink" Target="http://digitallearning.macfound.org/atf/cf/%7B7E45C7E0-A3E0-4B89-AC9C-E807E1B0AE4E%7D/JENKINS_WHITE_PAPER.PDF" TargetMode="External"/><Relationship Id="rId19" Type="http://schemas.openxmlformats.org/officeDocument/2006/relationships/hyperlink" Target="http://www.amazon.com/Strategic-Management-Human-Capital-Education/dp/041588666X/ref=sr_1_1?s=books&amp;ie=UTF8&amp;qid=1314042222&amp;sr=1-1"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learnuw.wisc.edu"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mailto:halverson@education.wisc.edu" TargetMode="External"/><Relationship Id="rId2" Type="http://schemas.openxmlformats.org/officeDocument/2006/relationships/hyperlink" Target="mailto:crim@education.wisc.edu" TargetMode="External"/><Relationship Id="rId3" Type="http://schemas.openxmlformats.org/officeDocument/2006/relationships/hyperlink" Target="https://learnuw.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4</Pages>
  <Words>1545</Words>
  <Characters>8812</Characters>
  <Application>Microsoft Macintosh Word</Application>
  <DocSecurity>0</DocSecurity>
  <Lines>73</Lines>
  <Paragraphs>20</Paragraphs>
  <ScaleCrop>false</ScaleCrop>
  <Company>University of Wisconsin-Madison</Company>
  <LinksUpToDate>false</LinksUpToDate>
  <CharactersWithSpaces>10337</CharactersWithSpaces>
  <SharedDoc>false</SharedDoc>
  <HLinks>
    <vt:vector size="36" baseType="variant">
      <vt:variant>
        <vt:i4>4849709</vt:i4>
      </vt:variant>
      <vt:variant>
        <vt:i4>6</vt:i4>
      </vt:variant>
      <vt:variant>
        <vt:i4>0</vt:i4>
      </vt:variant>
      <vt:variant>
        <vt:i4>5</vt:i4>
      </vt:variant>
      <vt:variant>
        <vt:lpwstr>http://www.gwu.edu/~litrev/index.html</vt:lpwstr>
      </vt:variant>
      <vt:variant>
        <vt:lpwstr/>
      </vt:variant>
      <vt:variant>
        <vt:i4>1245301</vt:i4>
      </vt:variant>
      <vt:variant>
        <vt:i4>3</vt:i4>
      </vt:variant>
      <vt:variant>
        <vt:i4>0</vt:i4>
      </vt:variant>
      <vt:variant>
        <vt:i4>5</vt:i4>
      </vt:variant>
      <vt:variant>
        <vt:lpwstr>http://info.gradsch.wisc.edu/research/compliance/humansubjects/tutorial/index.htm</vt:lpwstr>
      </vt:variant>
      <vt:variant>
        <vt:lpwstr/>
      </vt:variant>
      <vt:variant>
        <vt:i4>3670092</vt:i4>
      </vt:variant>
      <vt:variant>
        <vt:i4>0</vt:i4>
      </vt:variant>
      <vt:variant>
        <vt:i4>0</vt:i4>
      </vt:variant>
      <vt:variant>
        <vt:i4>5</vt:i4>
      </vt:variant>
      <vt:variant>
        <vt:lpwstr>https://uwmad.courses.wisconsin.edu</vt:lpwstr>
      </vt:variant>
      <vt:variant>
        <vt:lpwstr/>
      </vt:variant>
      <vt:variant>
        <vt:i4>4653082</vt:i4>
      </vt:variant>
      <vt:variant>
        <vt:i4>6</vt:i4>
      </vt:variant>
      <vt:variant>
        <vt:i4>0</vt:i4>
      </vt:variant>
      <vt:variant>
        <vt:i4>5</vt:i4>
      </vt:variant>
      <vt:variant>
        <vt:lpwstr>https://learnuw.wisc.edu</vt:lpwstr>
      </vt:variant>
      <vt:variant>
        <vt:lpwstr/>
      </vt:variant>
      <vt:variant>
        <vt:i4>2490408</vt:i4>
      </vt:variant>
      <vt:variant>
        <vt:i4>3</vt:i4>
      </vt:variant>
      <vt:variant>
        <vt:i4>0</vt:i4>
      </vt:variant>
      <vt:variant>
        <vt:i4>5</vt:i4>
      </vt:variant>
      <vt:variant>
        <vt:lpwstr>mailto:halverson@education.wisc.edu</vt:lpwstr>
      </vt:variant>
      <vt:variant>
        <vt:lpwstr/>
      </vt:variant>
      <vt:variant>
        <vt:i4>6684683</vt:i4>
      </vt:variant>
      <vt:variant>
        <vt:i4>0</vt:i4>
      </vt:variant>
      <vt:variant>
        <vt:i4>0</vt:i4>
      </vt:variant>
      <vt:variant>
        <vt:i4>5</vt:i4>
      </vt:variant>
      <vt:variant>
        <vt:lpwstr>mailto:conrad@education.wisc.edu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Wisconsin-Madison</dc:title>
  <dc:subject/>
  <dc:creator>Rich Halverson</dc:creator>
  <cp:keywords/>
  <cp:lastModifiedBy>Rich Halverson</cp:lastModifiedBy>
  <cp:revision>4</cp:revision>
  <cp:lastPrinted>2009-09-08T19:56:00Z</cp:lastPrinted>
  <dcterms:created xsi:type="dcterms:W3CDTF">2011-08-22T17:22:00Z</dcterms:created>
  <dcterms:modified xsi:type="dcterms:W3CDTF">2011-08-22T19:58:00Z</dcterms:modified>
</cp:coreProperties>
</file>